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宋体"/>
          <w:b/>
          <w:sz w:val="24"/>
          <w:lang w:eastAsia="zh-CN"/>
        </w:rPr>
      </w:pPr>
    </w:p>
    <w:p>
      <w:pPr>
        <w:spacing w:line="276" w:lineRule="auto"/>
        <w:rPr>
          <w:rFonts w:eastAsia="宋体"/>
          <w:b/>
          <w:sz w:val="24"/>
          <w:lang w:eastAsia="zh-CN"/>
        </w:rPr>
      </w:pPr>
    </w:p>
    <w:p>
      <w:pPr>
        <w:spacing w:line="276" w:lineRule="auto"/>
        <w:jc w:val="center"/>
        <w:rPr>
          <w:rFonts w:eastAsia="宋体"/>
          <w:b/>
          <w:sz w:val="40"/>
          <w:lang w:eastAsia="zh-CN"/>
        </w:rPr>
      </w:pPr>
      <w:r>
        <w:rPr>
          <w:rFonts w:eastAsia="宋体"/>
          <w:b/>
          <w:sz w:val="40"/>
          <w:lang w:eastAsia="zh-CN"/>
        </w:rPr>
        <w:t>管理体系认证合同</w:t>
      </w:r>
    </w:p>
    <w:p>
      <w:pPr>
        <w:spacing w:line="276" w:lineRule="auto"/>
        <w:jc w:val="center"/>
        <w:rPr>
          <w:rFonts w:eastAsia="宋体"/>
          <w:b/>
          <w:sz w:val="40"/>
          <w:lang w:eastAsia="zh-CN"/>
        </w:rPr>
      </w:pPr>
      <w:r>
        <w:rPr>
          <w:rFonts w:eastAsia="宋体"/>
          <w:b/>
          <w:sz w:val="40"/>
          <w:lang w:eastAsia="zh-CN"/>
        </w:rPr>
        <w:t>Management System Certification Contract</w:t>
      </w: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bookmarkStart w:id="0" w:name="_GoBack"/>
      <w:bookmarkEnd w:id="0"/>
    </w:p>
    <w:p>
      <w:pPr>
        <w:spacing w:line="360" w:lineRule="auto"/>
        <w:jc w:val="center"/>
        <w:rPr>
          <w:rFonts w:eastAsia="宋体"/>
          <w:b/>
          <w:sz w:val="28"/>
          <w:lang w:eastAsia="zh-CN"/>
        </w:rPr>
      </w:pPr>
      <w:r>
        <w:rPr>
          <w:rFonts w:eastAsia="宋体"/>
          <w:b/>
          <w:sz w:val="28"/>
          <w:lang w:eastAsia="zh-CN"/>
        </w:rPr>
        <w:t>合同编号：____________________</w:t>
      </w: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hint="eastAsia" w:eastAsia="宋体"/>
          <w:b/>
          <w:sz w:val="24"/>
          <w:lang w:eastAsia="zh-CN"/>
        </w:rPr>
      </w:pPr>
      <w:r>
        <w:rPr>
          <w:rFonts w:eastAsia="宋体"/>
          <w:b/>
          <w:sz w:val="24"/>
          <w:lang w:eastAsia="zh-CN"/>
        </w:rPr>
        <w:t>客户方：__________________________________________</w:t>
      </w:r>
    </w:p>
    <w:p>
      <w:pPr>
        <w:spacing w:line="360" w:lineRule="auto"/>
        <w:rPr>
          <w:rFonts w:eastAsia="宋体"/>
          <w:b/>
          <w:sz w:val="24"/>
          <w:lang w:eastAsia="zh-CN"/>
        </w:rPr>
      </w:pPr>
      <w:r>
        <w:rPr>
          <w:rFonts w:eastAsia="宋体"/>
          <w:b/>
          <w:sz w:val="24"/>
          <w:lang w:eastAsia="zh-CN"/>
        </w:rPr>
        <w:t>统一社会信用编码：__________________________________________</w:t>
      </w:r>
    </w:p>
    <w:p>
      <w:pPr>
        <w:spacing w:line="360" w:lineRule="auto"/>
        <w:rPr>
          <w:rFonts w:eastAsia="宋体"/>
          <w:b/>
          <w:sz w:val="24"/>
          <w:lang w:eastAsia="zh-CN"/>
        </w:rPr>
      </w:pPr>
      <w:r>
        <w:rPr>
          <w:rFonts w:eastAsia="宋体"/>
          <w:b/>
          <w:sz w:val="24"/>
          <w:lang w:eastAsia="zh-CN"/>
        </w:rPr>
        <w:t>注册地址：__________________________________________</w:t>
      </w:r>
    </w:p>
    <w:p>
      <w:pPr>
        <w:spacing w:line="360" w:lineRule="auto"/>
        <w:rPr>
          <w:rFonts w:eastAsia="宋体"/>
          <w:b/>
          <w:sz w:val="24"/>
          <w:lang w:eastAsia="zh-CN"/>
        </w:rPr>
      </w:pPr>
      <w:r>
        <w:rPr>
          <w:rFonts w:eastAsia="宋体"/>
          <w:b/>
          <w:sz w:val="24"/>
          <w:lang w:eastAsia="zh-CN"/>
        </w:rPr>
        <w:t>邮政编码：___________________________________________</w:t>
      </w:r>
    </w:p>
    <w:p>
      <w:pPr>
        <w:spacing w:line="360" w:lineRule="auto"/>
        <w:rPr>
          <w:rFonts w:eastAsia="宋体"/>
          <w:b/>
          <w:sz w:val="24"/>
          <w:lang w:eastAsia="zh-CN"/>
        </w:rPr>
      </w:pPr>
      <w:r>
        <w:rPr>
          <w:rFonts w:hint="eastAsia" w:eastAsia="宋体"/>
          <w:b/>
          <w:sz w:val="24"/>
          <w:lang w:eastAsia="zh-CN"/>
        </w:rPr>
        <w:t>经营地址</w:t>
      </w:r>
      <w:r>
        <w:rPr>
          <w:rFonts w:eastAsia="宋体"/>
          <w:b/>
          <w:sz w:val="24"/>
          <w:lang w:eastAsia="zh-CN"/>
        </w:rPr>
        <w:t>：__________________________________________</w:t>
      </w:r>
      <w:r>
        <w:rPr>
          <w:rFonts w:ascii="宋体" w:hAnsi="宋体" w:eastAsia="宋体" w:cs="宋体"/>
          <w:sz w:val="28"/>
          <w:szCs w:val="28"/>
          <w:u w:val="single"/>
          <w:lang w:val="en-US" w:eastAsia="zh-CN"/>
        </w:rPr>
        <w:t xml:space="preserve">   </w:t>
      </w:r>
      <w:r>
        <w:rPr>
          <w:rFonts w:ascii="宋体" w:hAnsi="宋体" w:cs="宋体"/>
          <w:bCs/>
          <w:sz w:val="24"/>
          <w:szCs w:val="24"/>
          <w:u w:val="single"/>
          <w:lang w:eastAsia="zh-CN"/>
        </w:rPr>
        <w:t xml:space="preserve">                   </w:t>
      </w:r>
      <w:r>
        <w:rPr>
          <w:rFonts w:eastAsia="宋体"/>
          <w:bCs/>
          <w:sz w:val="24"/>
          <w:szCs w:val="24"/>
          <w:u w:val="single"/>
          <w:lang w:eastAsia="zh-CN"/>
        </w:rPr>
        <w:t xml:space="preserve"> </w:t>
      </w:r>
    </w:p>
    <w:p>
      <w:pPr>
        <w:spacing w:line="360" w:lineRule="auto"/>
        <w:rPr>
          <w:rFonts w:hint="eastAsia" w:eastAsia="宋体"/>
          <w:b/>
          <w:sz w:val="24"/>
          <w:lang w:eastAsia="zh-CN"/>
        </w:rPr>
      </w:pPr>
      <w:r>
        <w:rPr>
          <w:rFonts w:hint="eastAsia" w:eastAsia="宋体"/>
          <w:b/>
          <w:sz w:val="24"/>
          <w:lang w:eastAsia="zh-CN"/>
        </w:rPr>
        <w:t>生产地址：</w:t>
      </w:r>
      <w:r>
        <w:rPr>
          <w:rFonts w:ascii="微软雅黑" w:hAnsi="微软雅黑" w:eastAsia="微软雅黑"/>
          <w:color w:val="131313"/>
          <w:sz w:val="21"/>
          <w:szCs w:val="21"/>
          <w:u w:val="single"/>
          <w:shd w:val="clear" w:color="auto" w:fill="FFFFFF"/>
          <w:lang w:eastAsia="zh-CN"/>
        </w:rPr>
        <w:t xml:space="preserve"> </w:t>
      </w:r>
      <w:r>
        <w:rPr>
          <w:rFonts w:eastAsia="宋体"/>
          <w:b/>
          <w:sz w:val="24"/>
          <w:lang w:eastAsia="zh-CN"/>
        </w:rPr>
        <w:t>__________________________________________</w:t>
      </w:r>
    </w:p>
    <w:p>
      <w:pPr>
        <w:spacing w:line="360" w:lineRule="auto"/>
        <w:rPr>
          <w:rFonts w:eastAsia="宋体"/>
          <w:b/>
          <w:sz w:val="24"/>
          <w:lang w:eastAsia="zh-CN"/>
        </w:rPr>
      </w:pPr>
      <w:r>
        <w:rPr>
          <w:rFonts w:eastAsia="宋体"/>
          <w:b/>
          <w:sz w:val="24"/>
          <w:lang w:eastAsia="zh-CN"/>
        </w:rPr>
        <w:t>联系人</w:t>
      </w:r>
      <w:r>
        <w:rPr>
          <w:rFonts w:hint="eastAsia" w:eastAsia="宋体"/>
          <w:b/>
          <w:sz w:val="24"/>
          <w:lang w:eastAsia="zh-CN"/>
        </w:rPr>
        <w:t>：</w:t>
      </w:r>
      <w:r>
        <w:rPr>
          <w:rFonts w:eastAsia="宋体"/>
          <w:b/>
          <w:sz w:val="24"/>
          <w:lang w:eastAsia="zh-CN"/>
        </w:rPr>
        <w:t>______</w:t>
      </w:r>
      <w:r>
        <w:rPr>
          <w:rFonts w:hint="eastAsia" w:eastAsia="宋体"/>
          <w:b/>
          <w:sz w:val="24"/>
          <w:lang w:eastAsia="zh-CN"/>
        </w:rPr>
        <w:t xml:space="preserve"> </w:t>
      </w:r>
      <w:r>
        <w:rPr>
          <w:rFonts w:eastAsia="宋体"/>
          <w:b/>
          <w:sz w:val="24"/>
          <w:lang w:eastAsia="zh-CN"/>
        </w:rPr>
        <w:t xml:space="preserve">   电话</w:t>
      </w:r>
      <w:r>
        <w:rPr>
          <w:rFonts w:eastAsia="宋体"/>
          <w:b/>
          <w:sz w:val="24"/>
          <w:u w:val="single"/>
          <w:lang w:eastAsia="zh-CN"/>
        </w:rPr>
        <w:t>：                    传</w:t>
      </w:r>
      <w:r>
        <w:rPr>
          <w:rFonts w:eastAsia="宋体"/>
          <w:b/>
          <w:sz w:val="24"/>
          <w:lang w:eastAsia="zh-CN"/>
        </w:rPr>
        <w:t>真：___________________</w:t>
      </w:r>
    </w:p>
    <w:p>
      <w:pPr>
        <w:spacing w:line="360" w:lineRule="auto"/>
        <w:rPr>
          <w:rFonts w:eastAsia="宋体"/>
          <w:b/>
          <w:sz w:val="24"/>
          <w:lang w:eastAsia="zh-CN"/>
        </w:rPr>
      </w:pPr>
    </w:p>
    <w:p>
      <w:pPr>
        <w:spacing w:line="360" w:lineRule="auto"/>
        <w:rPr>
          <w:rFonts w:eastAsia="宋体"/>
          <w:b/>
          <w:sz w:val="24"/>
          <w:lang w:eastAsia="zh-CN"/>
        </w:rPr>
      </w:pPr>
    </w:p>
    <w:p>
      <w:pPr>
        <w:spacing w:line="360" w:lineRule="auto"/>
        <w:rPr>
          <w:rFonts w:eastAsia="宋体"/>
          <w:b/>
          <w:sz w:val="24"/>
          <w:lang w:eastAsia="zh-CN"/>
        </w:rPr>
      </w:pPr>
      <w:r>
        <w:rPr>
          <w:rFonts w:eastAsia="宋体"/>
          <w:b/>
          <w:sz w:val="24"/>
          <w:lang w:eastAsia="zh-CN"/>
        </w:rPr>
        <w:t>认证机构：</w:t>
      </w:r>
      <w:r>
        <w:rPr>
          <w:rFonts w:hint="eastAsia" w:eastAsia="宋体"/>
          <w:b/>
          <w:sz w:val="24"/>
          <w:lang w:eastAsia="zh-CN"/>
        </w:rPr>
        <w:t>江苏中可认证有限公司</w:t>
      </w:r>
    </w:p>
    <w:p>
      <w:pPr>
        <w:spacing w:line="360" w:lineRule="auto"/>
        <w:rPr>
          <w:rFonts w:eastAsia="宋体"/>
          <w:b/>
          <w:sz w:val="24"/>
          <w:lang w:eastAsia="zh-CN"/>
        </w:rPr>
      </w:pPr>
      <w:r>
        <w:rPr>
          <w:rFonts w:eastAsia="宋体"/>
          <w:b/>
          <w:sz w:val="24"/>
          <w:lang w:eastAsia="zh-CN"/>
        </w:rPr>
        <w:t>地址：中国</w:t>
      </w:r>
      <w:r>
        <w:rPr>
          <w:rFonts w:hint="eastAsia" w:eastAsia="宋体"/>
          <w:b/>
          <w:sz w:val="24"/>
          <w:lang w:eastAsia="zh-CN"/>
        </w:rPr>
        <w:t>苏州市相城区相城大道6</w:t>
      </w:r>
      <w:r>
        <w:rPr>
          <w:rFonts w:eastAsia="宋体"/>
          <w:b/>
          <w:sz w:val="24"/>
          <w:lang w:eastAsia="zh-CN"/>
        </w:rPr>
        <w:t>66</w:t>
      </w:r>
      <w:r>
        <w:rPr>
          <w:rFonts w:hint="eastAsia" w:eastAsia="宋体"/>
          <w:b/>
          <w:sz w:val="24"/>
          <w:lang w:eastAsia="zh-CN"/>
        </w:rPr>
        <w:t>号中翔大厦1</w:t>
      </w:r>
      <w:r>
        <w:rPr>
          <w:rFonts w:eastAsia="宋体"/>
          <w:b/>
          <w:sz w:val="24"/>
          <w:lang w:eastAsia="zh-CN"/>
        </w:rPr>
        <w:t>0006- 10007</w:t>
      </w:r>
      <w:r>
        <w:rPr>
          <w:rFonts w:hint="eastAsia" w:eastAsia="宋体"/>
          <w:b/>
          <w:sz w:val="24"/>
          <w:lang w:eastAsia="zh-CN"/>
        </w:rPr>
        <w:t>室</w:t>
      </w:r>
    </w:p>
    <w:p>
      <w:pPr>
        <w:spacing w:line="360" w:lineRule="auto"/>
        <w:rPr>
          <w:rFonts w:eastAsia="宋体"/>
          <w:b/>
          <w:sz w:val="24"/>
          <w:lang w:eastAsia="zh-CN"/>
        </w:rPr>
      </w:pPr>
      <w:r>
        <w:rPr>
          <w:rFonts w:eastAsia="宋体"/>
          <w:b/>
          <w:sz w:val="24"/>
          <w:lang w:eastAsia="zh-CN"/>
        </w:rPr>
        <w:t>电话：</w:t>
      </w:r>
      <w:r>
        <w:rPr>
          <w:rFonts w:hint="eastAsia" w:eastAsia="宋体"/>
          <w:b/>
          <w:sz w:val="24"/>
          <w:lang w:eastAsia="zh-CN"/>
        </w:rPr>
        <w:t>0</w:t>
      </w:r>
      <w:r>
        <w:rPr>
          <w:rFonts w:eastAsia="宋体"/>
          <w:b/>
          <w:sz w:val="24"/>
          <w:lang w:eastAsia="zh-CN"/>
        </w:rPr>
        <w:t>512-65803313</w:t>
      </w:r>
    </w:p>
    <w:p>
      <w:pPr>
        <w:spacing w:line="360" w:lineRule="auto"/>
        <w:rPr>
          <w:rFonts w:eastAsia="宋体"/>
          <w:b/>
          <w:sz w:val="24"/>
          <w:lang w:eastAsia="zh-CN"/>
        </w:rPr>
      </w:pPr>
      <w:r>
        <w:rPr>
          <w:rFonts w:eastAsia="宋体"/>
          <w:b/>
          <w:sz w:val="24"/>
          <w:lang w:eastAsia="zh-CN"/>
        </w:rPr>
        <w:t>电子邮箱：</w:t>
      </w:r>
      <w:r>
        <w:rPr>
          <w:rFonts w:hint="eastAsia" w:eastAsia="宋体"/>
          <w:b/>
          <w:sz w:val="24"/>
          <w:lang w:eastAsia="zh-CN"/>
        </w:rPr>
        <w:t>4</w:t>
      </w:r>
      <w:r>
        <w:rPr>
          <w:rFonts w:eastAsia="宋体"/>
          <w:b/>
          <w:sz w:val="24"/>
          <w:lang w:eastAsia="zh-CN"/>
        </w:rPr>
        <w:t>7459674@</w:t>
      </w:r>
      <w:r>
        <w:rPr>
          <w:rFonts w:hint="eastAsia" w:eastAsia="宋体"/>
          <w:b/>
          <w:sz w:val="24"/>
          <w:lang w:eastAsia="zh-CN"/>
        </w:rPr>
        <w:t>qq.com</w:t>
      </w: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1、本协议在本合同所示日期签订，签订双方：</w:t>
      </w:r>
    </w:p>
    <w:p>
      <w:pPr>
        <w:ind w:left="567" w:firstLine="9"/>
        <w:jc w:val="both"/>
        <w:rPr>
          <w:rFonts w:eastAsia="宋体"/>
          <w:szCs w:val="18"/>
          <w:lang w:eastAsia="zh-CN"/>
        </w:rPr>
      </w:pPr>
      <w:r>
        <w:rPr>
          <w:rFonts w:eastAsia="宋体"/>
          <w:szCs w:val="18"/>
          <w:lang w:eastAsia="zh-CN"/>
        </w:rPr>
        <w:t>中国总部</w:t>
      </w:r>
      <w:r>
        <w:rPr>
          <w:rFonts w:hint="eastAsia" w:eastAsia="宋体"/>
          <w:szCs w:val="18"/>
          <w:lang w:eastAsia="zh-CN"/>
        </w:rPr>
        <w:t>（审核方）</w:t>
      </w:r>
      <w:r>
        <w:rPr>
          <w:rFonts w:eastAsia="宋体"/>
          <w:szCs w:val="18"/>
          <w:lang w:eastAsia="zh-CN"/>
        </w:rPr>
        <w:t>：</w:t>
      </w:r>
      <w:r>
        <w:rPr>
          <w:rFonts w:hint="eastAsia" w:eastAsia="宋体"/>
          <w:szCs w:val="18"/>
          <w:lang w:eastAsia="zh-CN"/>
        </w:rPr>
        <w:t>江苏中可认证有限公司</w:t>
      </w:r>
    </w:p>
    <w:p>
      <w:pPr>
        <w:ind w:left="567" w:firstLine="9"/>
        <w:jc w:val="both"/>
        <w:rPr>
          <w:rFonts w:eastAsia="宋体"/>
          <w:szCs w:val="18"/>
          <w:lang w:eastAsia="zh-CN"/>
        </w:rPr>
      </w:pPr>
      <w:r>
        <w:rPr>
          <w:rFonts w:eastAsia="宋体"/>
          <w:szCs w:val="18"/>
          <w:lang w:eastAsia="zh-CN"/>
        </w:rPr>
        <w:t>地址：</w:t>
      </w:r>
      <w:r>
        <w:rPr>
          <w:rFonts w:hint="eastAsia" w:eastAsia="宋体"/>
          <w:szCs w:val="18"/>
          <w:lang w:eastAsia="zh-CN"/>
        </w:rPr>
        <w:t>中国苏州市相城区相城大道6</w:t>
      </w:r>
      <w:r>
        <w:rPr>
          <w:rFonts w:eastAsia="宋体"/>
          <w:szCs w:val="18"/>
          <w:lang w:eastAsia="zh-CN"/>
        </w:rPr>
        <w:t>66</w:t>
      </w:r>
      <w:r>
        <w:rPr>
          <w:rFonts w:hint="eastAsia" w:eastAsia="宋体"/>
          <w:szCs w:val="18"/>
          <w:lang w:eastAsia="zh-CN"/>
        </w:rPr>
        <w:t>号中翔大厦1</w:t>
      </w:r>
      <w:r>
        <w:rPr>
          <w:rFonts w:eastAsia="宋体"/>
          <w:szCs w:val="18"/>
          <w:lang w:eastAsia="zh-CN"/>
        </w:rPr>
        <w:t>0006 -10007</w:t>
      </w:r>
      <w:r>
        <w:rPr>
          <w:rFonts w:hint="eastAsia" w:eastAsia="宋体"/>
          <w:szCs w:val="18"/>
          <w:lang w:eastAsia="zh-CN"/>
        </w:rPr>
        <w:t>室， 邮编：2</w:t>
      </w:r>
      <w:r>
        <w:rPr>
          <w:rFonts w:eastAsia="宋体"/>
          <w:szCs w:val="18"/>
          <w:lang w:eastAsia="zh-CN"/>
        </w:rPr>
        <w:t>15100</w:t>
      </w:r>
    </w:p>
    <w:p>
      <w:pPr>
        <w:ind w:left="993" w:firstLine="11"/>
        <w:jc w:val="both"/>
        <w:rPr>
          <w:rFonts w:eastAsia="宋体"/>
          <w:szCs w:val="18"/>
          <w:lang w:eastAsia="zh-CN"/>
        </w:rPr>
      </w:pPr>
      <w:r>
        <w:rPr>
          <w:rFonts w:eastAsia="宋体"/>
          <w:szCs w:val="18"/>
          <w:lang w:eastAsia="zh-CN"/>
        </w:rPr>
        <w:t>和</w:t>
      </w:r>
    </w:p>
    <w:p>
      <w:pPr>
        <w:spacing w:line="360" w:lineRule="auto"/>
        <w:ind w:firstLine="723" w:firstLineChars="400"/>
        <w:rPr>
          <w:rFonts w:eastAsia="宋体"/>
          <w:b/>
          <w:sz w:val="24"/>
          <w:lang w:eastAsia="zh-CN"/>
        </w:rPr>
      </w:pPr>
      <w:r>
        <w:rPr>
          <w:rFonts w:hint="eastAsia" w:eastAsia="宋体"/>
          <w:b/>
          <w:bCs/>
          <w:szCs w:val="18"/>
          <w:lang w:eastAsia="zh-CN"/>
        </w:rPr>
        <w:t>客户方</w:t>
      </w:r>
      <w:r>
        <w:rPr>
          <w:rFonts w:hint="eastAsia" w:eastAsia="宋体"/>
          <w:szCs w:val="18"/>
          <w:lang w:eastAsia="zh-CN"/>
        </w:rPr>
        <w:t>：</w:t>
      </w:r>
      <w:r>
        <w:rPr>
          <w:rFonts w:eastAsia="宋体"/>
          <w:szCs w:val="18"/>
          <w:u w:val="single"/>
          <w:lang w:eastAsia="zh-CN"/>
        </w:rPr>
        <w:t xml:space="preserve"> </w:t>
      </w:r>
      <w:r>
        <w:rPr>
          <w:rFonts w:eastAsia="宋体"/>
          <w:b/>
          <w:sz w:val="24"/>
          <w:lang w:eastAsia="zh-CN"/>
        </w:rPr>
        <w:t>__________________________________________</w:t>
      </w:r>
      <w:r>
        <w:rPr>
          <w:rFonts w:eastAsia="宋体"/>
          <w:szCs w:val="18"/>
          <w:lang w:eastAsia="zh-CN"/>
        </w:rPr>
        <w:t>（以下简称客户方）</w:t>
      </w:r>
    </w:p>
    <w:p>
      <w:pPr>
        <w:spacing w:line="360" w:lineRule="auto"/>
        <w:ind w:firstLine="723" w:firstLineChars="400"/>
        <w:rPr>
          <w:rFonts w:eastAsia="宋体"/>
          <w:b/>
          <w:sz w:val="24"/>
          <w:lang w:eastAsia="zh-CN"/>
        </w:rPr>
      </w:pPr>
      <w:r>
        <w:rPr>
          <w:rFonts w:hint="eastAsia" w:eastAsia="宋体"/>
          <w:b/>
          <w:bCs/>
          <w:szCs w:val="18"/>
          <w:lang w:eastAsia="zh-CN"/>
        </w:rPr>
        <w:t>注册</w:t>
      </w:r>
      <w:r>
        <w:rPr>
          <w:rFonts w:eastAsia="宋体"/>
          <w:b/>
          <w:bCs/>
          <w:szCs w:val="18"/>
          <w:lang w:eastAsia="zh-CN"/>
        </w:rPr>
        <w:t>地址</w:t>
      </w:r>
      <w:r>
        <w:rPr>
          <w:rFonts w:eastAsia="宋体"/>
          <w:szCs w:val="18"/>
          <w:lang w:eastAsia="zh-CN"/>
        </w:rPr>
        <w:t>：_</w:t>
      </w:r>
      <w:r>
        <w:rPr>
          <w:rFonts w:eastAsia="宋体"/>
          <w:b/>
          <w:sz w:val="24"/>
          <w:lang w:eastAsia="zh-CN"/>
        </w:rPr>
        <w:t>__________________________________________</w:t>
      </w:r>
    </w:p>
    <w:p>
      <w:pPr>
        <w:spacing w:line="360" w:lineRule="auto"/>
        <w:ind w:firstLine="723" w:firstLineChars="400"/>
        <w:rPr>
          <w:rFonts w:hint="eastAsia" w:eastAsia="宋体"/>
          <w:b/>
          <w:sz w:val="24"/>
          <w:lang w:eastAsia="zh-CN"/>
        </w:rPr>
      </w:pPr>
      <w:r>
        <w:rPr>
          <w:rFonts w:hint="eastAsia" w:eastAsia="宋体"/>
          <w:b/>
          <w:bCs/>
          <w:szCs w:val="18"/>
          <w:lang w:eastAsia="zh-CN"/>
        </w:rPr>
        <w:t>审核地址</w:t>
      </w:r>
      <w:r>
        <w:rPr>
          <w:rFonts w:eastAsia="宋体"/>
          <w:szCs w:val="18"/>
          <w:lang w:eastAsia="zh-CN"/>
        </w:rPr>
        <w:t>：</w:t>
      </w:r>
      <w:r>
        <w:rPr>
          <w:rFonts w:eastAsia="宋体"/>
          <w:b/>
          <w:sz w:val="24"/>
          <w:lang w:eastAsia="zh-CN"/>
        </w:rPr>
        <w:t>__________________________________________</w:t>
      </w:r>
    </w:p>
    <w:p>
      <w:pPr>
        <w:ind w:firstLine="288"/>
        <w:jc w:val="both"/>
        <w:rPr>
          <w:rFonts w:eastAsia="宋体"/>
          <w:szCs w:val="18"/>
          <w:lang w:eastAsia="zh-CN"/>
        </w:rPr>
      </w:pPr>
      <w:r>
        <w:rPr>
          <w:rFonts w:eastAsia="宋体"/>
          <w:szCs w:val="18"/>
          <w:lang w:eastAsia="zh-CN"/>
        </w:rPr>
        <w:t>2、协议范围</w:t>
      </w:r>
    </w:p>
    <w:p>
      <w:pPr>
        <w:ind w:left="288" w:firstLine="288"/>
        <w:jc w:val="both"/>
        <w:rPr>
          <w:rFonts w:eastAsia="宋体"/>
          <w:szCs w:val="18"/>
          <w:lang w:eastAsia="zh-CN"/>
        </w:rPr>
      </w:pPr>
      <w:r>
        <w:rPr>
          <w:rFonts w:eastAsia="宋体"/>
          <w:szCs w:val="18"/>
          <w:lang w:eastAsia="zh-CN"/>
        </w:rPr>
        <w:t>2.1.本机构同意提供本协议报价单中详述的服务（以下简称：“服务”）。</w:t>
      </w:r>
    </w:p>
    <w:p>
      <w:pPr>
        <w:ind w:left="288" w:firstLine="288"/>
        <w:jc w:val="both"/>
        <w:rPr>
          <w:rFonts w:eastAsia="宋体"/>
          <w:szCs w:val="18"/>
          <w:lang w:eastAsia="zh-CN"/>
        </w:rPr>
      </w:pPr>
      <w:r>
        <w:rPr>
          <w:rFonts w:eastAsia="宋体"/>
          <w:szCs w:val="18"/>
          <w:lang w:eastAsia="zh-CN"/>
        </w:rPr>
        <w:t>2.2.为了使机构能够提供服务，客户方同意向机构提供一切必要的信息和设施。</w:t>
      </w:r>
    </w:p>
    <w:p>
      <w:pPr>
        <w:ind w:left="288" w:firstLine="288"/>
        <w:jc w:val="both"/>
        <w:rPr>
          <w:rFonts w:eastAsia="宋体"/>
          <w:szCs w:val="18"/>
          <w:lang w:eastAsia="zh-CN"/>
        </w:rPr>
      </w:pPr>
      <w:r>
        <w:rPr>
          <w:rFonts w:eastAsia="宋体"/>
          <w:szCs w:val="18"/>
          <w:lang w:eastAsia="zh-CN"/>
        </w:rPr>
        <w:t>2.3.客户方同意，无论何时何地，只要需要，应允许中国认证认可监管方参加所有认证审核过程，以验证认证机构的活动。</w:t>
      </w: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3、人员</w:t>
      </w:r>
    </w:p>
    <w:p>
      <w:pPr>
        <w:ind w:left="288" w:firstLine="288"/>
        <w:jc w:val="both"/>
        <w:rPr>
          <w:rFonts w:eastAsia="宋体"/>
          <w:szCs w:val="18"/>
          <w:lang w:eastAsia="zh-CN"/>
        </w:rPr>
      </w:pPr>
      <w:r>
        <w:rPr>
          <w:rFonts w:eastAsia="宋体"/>
          <w:szCs w:val="18"/>
          <w:lang w:eastAsia="zh-CN"/>
        </w:rPr>
        <w:t>机构承诺提供适当的合格人员，这将通过直接调配机构员工。</w:t>
      </w: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4、付款条件</w:t>
      </w:r>
    </w:p>
    <w:p>
      <w:pPr>
        <w:ind w:left="288" w:firstLine="288"/>
        <w:jc w:val="both"/>
        <w:rPr>
          <w:rFonts w:eastAsia="宋体"/>
          <w:szCs w:val="18"/>
          <w:lang w:eastAsia="zh-CN"/>
        </w:rPr>
      </w:pPr>
      <w:r>
        <w:rPr>
          <w:rFonts w:eastAsia="宋体"/>
          <w:szCs w:val="18"/>
          <w:lang w:eastAsia="zh-CN"/>
        </w:rPr>
        <w:t>4.1、服务费按本协定的报价单列出。</w:t>
      </w:r>
    </w:p>
    <w:p>
      <w:pPr>
        <w:ind w:left="288" w:firstLine="288"/>
        <w:jc w:val="both"/>
        <w:rPr>
          <w:rFonts w:eastAsia="宋体"/>
          <w:szCs w:val="18"/>
          <w:lang w:eastAsia="zh-CN"/>
        </w:rPr>
      </w:pPr>
      <w:r>
        <w:rPr>
          <w:rFonts w:eastAsia="宋体"/>
          <w:szCs w:val="18"/>
          <w:lang w:eastAsia="zh-CN"/>
        </w:rPr>
        <w:t>4.2、如果在报价单详细说明，客户方应支付由机构雇员或分包人员在履行本协议时合理产生的所有费用。</w:t>
      </w:r>
    </w:p>
    <w:p>
      <w:pPr>
        <w:ind w:left="288" w:firstLine="288"/>
        <w:jc w:val="both"/>
        <w:rPr>
          <w:rFonts w:eastAsia="宋体"/>
          <w:szCs w:val="18"/>
          <w:lang w:eastAsia="zh-CN"/>
        </w:rPr>
      </w:pPr>
      <w:r>
        <w:rPr>
          <w:rFonts w:eastAsia="宋体"/>
          <w:szCs w:val="18"/>
          <w:lang w:eastAsia="zh-CN"/>
        </w:rPr>
        <w:t>4.3、机构保留不时增加费用的权利。机构将通知客户方其变更费用的意图。</w:t>
      </w:r>
    </w:p>
    <w:p>
      <w:pPr>
        <w:ind w:left="288" w:firstLine="288"/>
        <w:jc w:val="both"/>
        <w:rPr>
          <w:rFonts w:eastAsia="宋体"/>
          <w:szCs w:val="18"/>
          <w:lang w:eastAsia="zh-CN"/>
        </w:rPr>
      </w:pPr>
      <w:r>
        <w:rPr>
          <w:rFonts w:eastAsia="宋体"/>
          <w:szCs w:val="18"/>
          <w:lang w:eastAsia="zh-CN"/>
        </w:rPr>
        <w:t>4.4、除非在本协议的报价单中另有规定，否则根据本协议，客户方应支付的所有款项应在发票日期内的30天内以发票中详细列支的金额支付给机构或其代理机构。</w:t>
      </w:r>
    </w:p>
    <w:p>
      <w:pPr>
        <w:ind w:left="288" w:firstLine="288"/>
        <w:jc w:val="both"/>
        <w:rPr>
          <w:rFonts w:eastAsia="宋体"/>
          <w:szCs w:val="18"/>
          <w:lang w:eastAsia="zh-CN"/>
        </w:rPr>
      </w:pPr>
      <w:r>
        <w:rPr>
          <w:rFonts w:eastAsia="宋体"/>
          <w:szCs w:val="18"/>
          <w:lang w:eastAsia="zh-CN"/>
        </w:rPr>
        <w:t>4.5、在询价之后，报价中的费用尽可能准确，但机构保留，通过初评现场审核（第1阶段）所发现的情况进行合理变更的权利。</w:t>
      </w:r>
    </w:p>
    <w:p>
      <w:pPr>
        <w:ind w:left="288" w:firstLine="288"/>
        <w:jc w:val="both"/>
        <w:rPr>
          <w:rFonts w:eastAsia="宋体"/>
          <w:szCs w:val="18"/>
          <w:lang w:eastAsia="zh-CN"/>
        </w:rPr>
      </w:pPr>
      <w:r>
        <w:rPr>
          <w:rFonts w:eastAsia="宋体"/>
          <w:szCs w:val="18"/>
          <w:lang w:eastAsia="zh-CN"/>
        </w:rPr>
        <w:t>4.6、对不包括在报价中的服务以及由于管理体系审核发现的主要不符合项要求进行额外的监督审核，将收取额外费用。这些费用包括：</w:t>
      </w:r>
    </w:p>
    <w:p>
      <w:pPr>
        <w:pStyle w:val="25"/>
        <w:numPr>
          <w:ilvl w:val="0"/>
          <w:numId w:val="1"/>
        </w:numPr>
        <w:jc w:val="both"/>
        <w:rPr>
          <w:rFonts w:eastAsia="宋体"/>
          <w:szCs w:val="18"/>
          <w:lang w:eastAsia="zh-CN"/>
        </w:rPr>
      </w:pPr>
      <w:r>
        <w:rPr>
          <w:rFonts w:eastAsia="宋体"/>
          <w:szCs w:val="18"/>
          <w:lang w:eastAsia="zh-CN"/>
        </w:rPr>
        <w:t>由于初始审核要求未被满足，需重复开展审核程序的部分或全部；</w:t>
      </w:r>
    </w:p>
    <w:p>
      <w:pPr>
        <w:pStyle w:val="25"/>
        <w:numPr>
          <w:ilvl w:val="0"/>
          <w:numId w:val="1"/>
        </w:numPr>
        <w:jc w:val="both"/>
        <w:rPr>
          <w:rFonts w:eastAsia="宋体"/>
          <w:szCs w:val="18"/>
          <w:lang w:eastAsia="zh-CN"/>
        </w:rPr>
      </w:pPr>
      <w:r>
        <w:rPr>
          <w:rFonts w:eastAsia="宋体"/>
          <w:szCs w:val="18"/>
          <w:lang w:eastAsia="zh-CN"/>
        </w:rPr>
        <w:t>因暂停、撤回和/或恢复证书而进行的额外工作；</w:t>
      </w:r>
    </w:p>
    <w:p>
      <w:pPr>
        <w:pStyle w:val="25"/>
        <w:numPr>
          <w:ilvl w:val="0"/>
          <w:numId w:val="1"/>
        </w:numPr>
        <w:jc w:val="both"/>
        <w:rPr>
          <w:rFonts w:eastAsia="宋体"/>
          <w:szCs w:val="18"/>
          <w:lang w:eastAsia="zh-CN"/>
        </w:rPr>
      </w:pPr>
      <w:r>
        <w:rPr>
          <w:rFonts w:eastAsia="宋体"/>
          <w:szCs w:val="18"/>
          <w:lang w:eastAsia="zh-CN"/>
        </w:rPr>
        <w:t>由于管理体系的变化而重新审核；</w:t>
      </w:r>
    </w:p>
    <w:p>
      <w:pPr>
        <w:pStyle w:val="25"/>
        <w:numPr>
          <w:ilvl w:val="0"/>
          <w:numId w:val="1"/>
        </w:numPr>
        <w:jc w:val="both"/>
        <w:rPr>
          <w:rFonts w:eastAsia="宋体"/>
          <w:szCs w:val="18"/>
          <w:lang w:eastAsia="zh-CN"/>
        </w:rPr>
      </w:pPr>
      <w:r>
        <w:rPr>
          <w:rFonts w:eastAsia="宋体"/>
          <w:szCs w:val="18"/>
          <w:lang w:eastAsia="zh-CN"/>
        </w:rPr>
        <w:t>在约定日期前不超过30天的取消审核，将收取一半的报价费用。在约定日期前10天内取消审核，将收取全部报价费用。机构保留权利在特殊情况下放弃这些费用收取。</w:t>
      </w: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5、保密性</w:t>
      </w:r>
      <w:r>
        <w:rPr>
          <w:rFonts w:hint="eastAsia" w:eastAsia="宋体"/>
          <w:szCs w:val="18"/>
          <w:lang w:eastAsia="zh-CN"/>
        </w:rPr>
        <w:t>和数据保护</w:t>
      </w:r>
    </w:p>
    <w:p>
      <w:pPr>
        <w:ind w:left="288" w:firstLine="288"/>
        <w:jc w:val="both"/>
        <w:rPr>
          <w:rFonts w:eastAsia="宋体"/>
          <w:szCs w:val="18"/>
          <w:lang w:eastAsia="zh-CN"/>
        </w:rPr>
      </w:pPr>
      <w:r>
        <w:rPr>
          <w:rFonts w:eastAsia="宋体"/>
          <w:szCs w:val="18"/>
          <w:lang w:eastAsia="zh-CN"/>
        </w:rPr>
        <w:t>5.1、机构、其高级管理人员、雇员和代理机构同意保密，未经委托人同意，不向任何第三方使用或披露任何通过服务中获取的与客户方有关的信息，除非在合理且必要的情况下，机构需使用这些机密信息按照协议条款执行服务。</w:t>
      </w:r>
    </w:p>
    <w:p>
      <w:pPr>
        <w:ind w:left="288" w:firstLine="288"/>
        <w:jc w:val="both"/>
        <w:rPr>
          <w:rFonts w:eastAsia="宋体"/>
          <w:szCs w:val="18"/>
          <w:lang w:eastAsia="zh-CN"/>
        </w:rPr>
      </w:pPr>
      <w:r>
        <w:rPr>
          <w:rFonts w:eastAsia="宋体"/>
          <w:szCs w:val="18"/>
          <w:lang w:eastAsia="zh-CN"/>
        </w:rPr>
        <w:t>5.2、该义务在本协议有效期间和终止后应继续生效，但不受下列限制；</w:t>
      </w:r>
    </w:p>
    <w:p>
      <w:pPr>
        <w:pStyle w:val="25"/>
        <w:numPr>
          <w:ilvl w:val="0"/>
          <w:numId w:val="2"/>
        </w:numPr>
        <w:jc w:val="both"/>
        <w:rPr>
          <w:rFonts w:eastAsia="宋体"/>
          <w:szCs w:val="18"/>
          <w:lang w:eastAsia="zh-CN"/>
        </w:rPr>
      </w:pPr>
      <w:r>
        <w:rPr>
          <w:rFonts w:eastAsia="宋体"/>
          <w:szCs w:val="18"/>
          <w:lang w:eastAsia="zh-CN"/>
        </w:rPr>
        <w:t>在客户方向机构披露之前，机构已持有的任何信息，或</w:t>
      </w:r>
    </w:p>
    <w:p>
      <w:pPr>
        <w:pStyle w:val="25"/>
        <w:numPr>
          <w:ilvl w:val="0"/>
          <w:numId w:val="2"/>
        </w:numPr>
        <w:jc w:val="both"/>
        <w:rPr>
          <w:rFonts w:eastAsia="宋体"/>
          <w:szCs w:val="18"/>
          <w:lang w:eastAsia="zh-CN"/>
        </w:rPr>
      </w:pPr>
      <w:r>
        <w:rPr>
          <w:rFonts w:eastAsia="宋体"/>
          <w:szCs w:val="18"/>
          <w:lang w:eastAsia="zh-CN"/>
        </w:rPr>
        <w:t>属于或应当合法成为公共领域的信息；或</w:t>
      </w:r>
    </w:p>
    <w:p>
      <w:pPr>
        <w:pStyle w:val="25"/>
        <w:numPr>
          <w:ilvl w:val="0"/>
          <w:numId w:val="2"/>
        </w:numPr>
        <w:jc w:val="both"/>
        <w:rPr>
          <w:rFonts w:eastAsia="宋体"/>
          <w:szCs w:val="18"/>
          <w:lang w:eastAsia="zh-CN"/>
        </w:rPr>
      </w:pPr>
      <w:r>
        <w:rPr>
          <w:rFonts w:eastAsia="宋体"/>
          <w:szCs w:val="18"/>
          <w:lang w:eastAsia="zh-CN"/>
        </w:rPr>
        <w:t>从独立于客户方的来源合法获得的任何信息，或者因取得认证，而被要求提供的任何信息。</w:t>
      </w:r>
    </w:p>
    <w:p>
      <w:pPr>
        <w:pStyle w:val="25"/>
        <w:numPr>
          <w:ilvl w:val="0"/>
          <w:numId w:val="2"/>
        </w:numPr>
        <w:jc w:val="both"/>
        <w:rPr>
          <w:rFonts w:eastAsia="宋体"/>
          <w:sz w:val="20"/>
          <w:lang w:eastAsia="zh-CN"/>
        </w:rPr>
      </w:pPr>
      <w:r>
        <w:rPr>
          <w:rFonts w:hint="eastAsia" w:eastAsia="宋体"/>
          <w:sz w:val="20"/>
          <w:lang w:eastAsia="zh-CN"/>
        </w:rPr>
        <w:t>任何需要提供给认证和认可机构和监管方的信息用以维护机构的认可资格。</w:t>
      </w: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6、终止</w:t>
      </w:r>
    </w:p>
    <w:p>
      <w:pPr>
        <w:ind w:left="288" w:firstLine="288"/>
        <w:jc w:val="both"/>
        <w:rPr>
          <w:rFonts w:eastAsia="宋体"/>
          <w:szCs w:val="18"/>
          <w:lang w:eastAsia="zh-CN"/>
        </w:rPr>
      </w:pPr>
      <w:r>
        <w:rPr>
          <w:rFonts w:eastAsia="宋体"/>
          <w:szCs w:val="18"/>
          <w:lang w:eastAsia="zh-CN"/>
        </w:rPr>
        <w:t>6.1、本协议继续生效，直至终止</w:t>
      </w:r>
      <w:r>
        <w:rPr>
          <w:rFonts w:hint="eastAsia" w:eastAsia="宋体"/>
          <w:szCs w:val="18"/>
          <w:lang w:eastAsia="zh-CN"/>
        </w:rPr>
        <w:t>。</w:t>
      </w:r>
    </w:p>
    <w:p>
      <w:pPr>
        <w:ind w:left="288" w:firstLine="288"/>
        <w:jc w:val="both"/>
        <w:rPr>
          <w:rFonts w:eastAsia="宋体"/>
          <w:szCs w:val="18"/>
          <w:lang w:eastAsia="zh-CN"/>
        </w:rPr>
      </w:pPr>
      <w:r>
        <w:rPr>
          <w:rFonts w:eastAsia="宋体"/>
          <w:szCs w:val="18"/>
          <w:lang w:eastAsia="zh-CN"/>
        </w:rPr>
        <w:t>6.2、任何一方提前30天书面通知另一方。</w:t>
      </w:r>
    </w:p>
    <w:p>
      <w:pPr>
        <w:ind w:left="993" w:hanging="417"/>
        <w:jc w:val="both"/>
        <w:rPr>
          <w:rFonts w:eastAsia="宋体"/>
          <w:szCs w:val="18"/>
          <w:lang w:eastAsia="zh-CN"/>
        </w:rPr>
      </w:pPr>
      <w:r>
        <w:rPr>
          <w:rFonts w:eastAsia="宋体"/>
          <w:szCs w:val="18"/>
          <w:lang w:eastAsia="zh-CN"/>
        </w:rPr>
        <w:t>6.3、本协议终止之日，机构批准认证证书立即失效。证书应退还给机构，所有使用机构标志的客户方文件应撤回，并支付未付费用。</w:t>
      </w:r>
    </w:p>
    <w:p>
      <w:pPr>
        <w:ind w:firstLine="288"/>
        <w:jc w:val="both"/>
        <w:rPr>
          <w:rFonts w:eastAsia="宋体"/>
          <w:szCs w:val="18"/>
          <w:lang w:eastAsia="zh-CN"/>
        </w:rPr>
      </w:pPr>
    </w:p>
    <w:p>
      <w:pPr>
        <w:ind w:firstLine="288"/>
        <w:jc w:val="both"/>
        <w:rPr>
          <w:rFonts w:eastAsia="宋体"/>
          <w:szCs w:val="18"/>
          <w:lang w:eastAsia="zh-CN"/>
        </w:rPr>
      </w:pPr>
      <w:r>
        <w:rPr>
          <w:rFonts w:eastAsia="宋体"/>
          <w:szCs w:val="18"/>
          <w:lang w:eastAsia="zh-CN"/>
        </w:rPr>
        <w:t>7、转让：除本协议另有约定外，不应转让本协议。</w:t>
      </w:r>
    </w:p>
    <w:p>
      <w:pPr>
        <w:ind w:firstLine="288"/>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8、不可抗力：任何一方未能或不履行或遵守本协议中任何规定、条件或保证，不得对该方提出任何索赔，或被视为违约，只要该违约或违反不合理的原因是由于不可控制的原因造成的。</w:t>
      </w:r>
    </w:p>
    <w:p>
      <w:pPr>
        <w:ind w:firstLine="288"/>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9、法律：本协议在所有方面均应作为符合本地（中国）法律的协议来构建和运行。</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10、赔偿：客户方承诺赔偿由于客户方滥用根据本协议机构授予的任何批准或许可而使机构遭受的任何损失或对机构提出的索赔。</w:t>
      </w:r>
    </w:p>
    <w:p>
      <w:pPr>
        <w:ind w:left="567" w:hanging="279"/>
        <w:jc w:val="both"/>
        <w:rPr>
          <w:rFonts w:eastAsia="宋体"/>
          <w:szCs w:val="18"/>
          <w:lang w:eastAsia="zh-CN"/>
        </w:rPr>
      </w:pPr>
      <w:r>
        <w:rPr>
          <w:rFonts w:eastAsia="宋体"/>
          <w:szCs w:val="18"/>
          <w:lang w:eastAsia="zh-CN"/>
        </w:rPr>
        <w:t>11、客户方收到的管理体系绩效投诉：应妥善记录所有投诉和补救行动。客户方应该充分回应投诉。客户方的投诉记录应根据管理体系规定的适当周期内进行保留。</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12、责任：在提供服务、信息或建议时，机构或其任何高级管理人员、雇员、代理机构都不能保证提供的信息、评审、评估、认证或建议的准确性。除本协议有规定，机构或其任何高级管理人员、雇员或代理机构（机构以代表已同意本条款），由于机构高级管理人员、雇员或代理机构的错误行为，无论其性质和方式，或者由于机构或者代表机构的人员、机构在提供信息、评审、评估、认证或建议的不准确性，无论其性质和方式，而承担任何个人遭受的损害和费用的损失，甚至其金额违反了保障。如果任何人是协议一方，机构向其提供任何服务，其在使用机构的服务，或依赖由机构或代表机构的机构提供的信息、评审、评估、证明或建议，并因此遭受损失，该损失用是由于机构高级管理人员、雇员或代理机构的过失行为或者过失导致的在机构提供的信息、评审、评估、认证或建议的不准确性，那么机构将向该人赔偿被证明的损失，赔偿金额不超过机构为该服务、信息或建议所收取的费用（如有）。机构其高级管理人员、雇员或代理机构（机构代表其发出本通知）对任何非本协议缔约方的人，对于机构明示或者暗示的信息或建议，或者机构的任何信息、不准确性的过失不承担任何责任。</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13、宣传和推广：为了保持机构服务的完整性，客户方在提及其在诸如互联网、宣传册或广告或其他文件的通信媒体中，应遵守机构的相关要求。并且：</w:t>
      </w:r>
    </w:p>
    <w:p>
      <w:pPr>
        <w:pStyle w:val="25"/>
        <w:numPr>
          <w:ilvl w:val="0"/>
          <w:numId w:val="3"/>
        </w:numPr>
        <w:jc w:val="both"/>
        <w:rPr>
          <w:rFonts w:eastAsia="宋体"/>
          <w:szCs w:val="18"/>
          <w:lang w:eastAsia="zh-CN"/>
        </w:rPr>
      </w:pPr>
      <w:r>
        <w:rPr>
          <w:rFonts w:eastAsia="宋体"/>
          <w:szCs w:val="18"/>
          <w:lang w:eastAsia="zh-CN"/>
        </w:rPr>
        <w:t>不要制作、使用或允许任何关于认证的误导性陈述。</w:t>
      </w:r>
    </w:p>
    <w:p>
      <w:pPr>
        <w:pStyle w:val="25"/>
        <w:numPr>
          <w:ilvl w:val="0"/>
          <w:numId w:val="3"/>
        </w:numPr>
        <w:jc w:val="both"/>
        <w:rPr>
          <w:rFonts w:eastAsia="宋体"/>
          <w:szCs w:val="18"/>
          <w:lang w:eastAsia="zh-CN"/>
        </w:rPr>
      </w:pPr>
      <w:r>
        <w:rPr>
          <w:rFonts w:eastAsia="宋体"/>
          <w:szCs w:val="18"/>
          <w:lang w:eastAsia="zh-CN"/>
        </w:rPr>
        <w:t>不以误导的方式使用或准许使用证明文件或任何部分</w:t>
      </w:r>
      <w:r>
        <w:rPr>
          <w:rFonts w:hint="eastAsia" w:eastAsia="宋体"/>
          <w:szCs w:val="18"/>
          <w:lang w:eastAsia="zh-CN"/>
        </w:rPr>
        <w:t>。</w:t>
      </w:r>
    </w:p>
    <w:p>
      <w:pPr>
        <w:pStyle w:val="25"/>
        <w:numPr>
          <w:ilvl w:val="0"/>
          <w:numId w:val="3"/>
        </w:numPr>
        <w:jc w:val="both"/>
        <w:rPr>
          <w:rFonts w:eastAsia="宋体"/>
          <w:szCs w:val="18"/>
          <w:lang w:eastAsia="zh-CN"/>
        </w:rPr>
      </w:pPr>
      <w:r>
        <w:rPr>
          <w:rFonts w:eastAsia="宋体"/>
          <w:szCs w:val="18"/>
          <w:lang w:eastAsia="zh-CN"/>
        </w:rPr>
        <w:t>在暂停或撤回认证后，停止使用包含机构认证内容的所有广告材料。</w:t>
      </w:r>
    </w:p>
    <w:p>
      <w:pPr>
        <w:pStyle w:val="25"/>
        <w:numPr>
          <w:ilvl w:val="0"/>
          <w:numId w:val="3"/>
        </w:numPr>
        <w:jc w:val="both"/>
        <w:rPr>
          <w:rFonts w:eastAsia="宋体"/>
          <w:szCs w:val="18"/>
          <w:lang w:eastAsia="zh-CN"/>
        </w:rPr>
      </w:pPr>
      <w:r>
        <w:rPr>
          <w:rFonts w:eastAsia="宋体"/>
          <w:szCs w:val="18"/>
          <w:lang w:eastAsia="zh-CN"/>
        </w:rPr>
        <w:t>当认证范围缩小时，修改所有广告内容。</w:t>
      </w:r>
    </w:p>
    <w:p>
      <w:pPr>
        <w:pStyle w:val="25"/>
        <w:numPr>
          <w:ilvl w:val="0"/>
          <w:numId w:val="3"/>
        </w:numPr>
        <w:jc w:val="both"/>
        <w:rPr>
          <w:rFonts w:eastAsia="宋体"/>
          <w:szCs w:val="18"/>
          <w:lang w:eastAsia="zh-CN"/>
        </w:rPr>
      </w:pPr>
      <w:r>
        <w:rPr>
          <w:rFonts w:eastAsia="宋体"/>
          <w:szCs w:val="18"/>
          <w:lang w:eastAsia="zh-CN"/>
        </w:rPr>
        <w:t>不要允许引用获得的认证来暗示机构产品、服务或者过程的认证。</w:t>
      </w:r>
    </w:p>
    <w:p>
      <w:pPr>
        <w:pStyle w:val="25"/>
        <w:numPr>
          <w:ilvl w:val="0"/>
          <w:numId w:val="3"/>
        </w:numPr>
        <w:jc w:val="both"/>
        <w:rPr>
          <w:rFonts w:eastAsia="宋体"/>
          <w:szCs w:val="18"/>
          <w:lang w:eastAsia="zh-CN"/>
        </w:rPr>
      </w:pPr>
      <w:r>
        <w:rPr>
          <w:rFonts w:eastAsia="宋体"/>
          <w:szCs w:val="18"/>
          <w:lang w:eastAsia="zh-CN"/>
        </w:rPr>
        <w:t>不暗示认证适用于超出范围的活动。</w:t>
      </w:r>
    </w:p>
    <w:p>
      <w:pPr>
        <w:pStyle w:val="25"/>
        <w:numPr>
          <w:ilvl w:val="0"/>
          <w:numId w:val="3"/>
        </w:numPr>
        <w:jc w:val="both"/>
        <w:rPr>
          <w:rFonts w:eastAsia="宋体"/>
          <w:szCs w:val="18"/>
          <w:lang w:eastAsia="zh-CN"/>
        </w:rPr>
      </w:pPr>
      <w:r>
        <w:rPr>
          <w:rFonts w:eastAsia="宋体"/>
          <w:szCs w:val="18"/>
          <w:lang w:eastAsia="zh-CN"/>
        </w:rPr>
        <w:t>使用认证时，不将机构或者认证的体系带入不良名誉和不良公众信任。</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14、批准证书所有权：该证书和标志的使用权应归机构所有，不得出售、借出或用作客户方的资产。如果客户方业务破产，破产清算或管理层发生变化，机构可能必须立即取消客户方的认证，但机构将考虑个别情况。客户方应如实通知机构对上述情况的任何变动。</w:t>
      </w:r>
    </w:p>
    <w:p>
      <w:pPr>
        <w:ind w:left="567" w:hanging="279"/>
        <w:jc w:val="both"/>
        <w:rPr>
          <w:rFonts w:eastAsia="宋体"/>
          <w:szCs w:val="18"/>
          <w:lang w:eastAsia="zh-CN"/>
        </w:rPr>
      </w:pPr>
    </w:p>
    <w:p>
      <w:pPr>
        <w:ind w:left="567" w:hanging="279"/>
        <w:jc w:val="both"/>
        <w:rPr>
          <w:rFonts w:eastAsia="宋体"/>
          <w:sz w:val="20"/>
          <w:lang w:eastAsia="zh-CN"/>
        </w:rPr>
      </w:pPr>
      <w:r>
        <w:rPr>
          <w:rFonts w:eastAsia="宋体"/>
          <w:sz w:val="20"/>
          <w:lang w:eastAsia="zh-CN"/>
        </w:rPr>
        <w:t>15</w:t>
      </w:r>
      <w:r>
        <w:rPr>
          <w:rFonts w:hint="eastAsia" w:eastAsia="宋体"/>
          <w:sz w:val="20"/>
          <w:lang w:eastAsia="zh-CN"/>
        </w:rPr>
        <w:t>、变更：受审的客户应及时通知认证机构影响满足管理体系认证标准的事项，包括如下事项：</w:t>
      </w:r>
    </w:p>
    <w:p>
      <w:pPr>
        <w:pStyle w:val="25"/>
        <w:numPr>
          <w:ilvl w:val="0"/>
          <w:numId w:val="4"/>
        </w:numPr>
        <w:ind w:left="1276"/>
        <w:rPr>
          <w:lang w:eastAsia="zh-CN"/>
        </w:rPr>
      </w:pPr>
      <w:r>
        <w:rPr>
          <w:rFonts w:hint="eastAsia"/>
          <w:lang w:eastAsia="zh-CN"/>
        </w:rPr>
        <w:t>法律、商业和组织状态和所有权；</w:t>
      </w:r>
    </w:p>
    <w:p>
      <w:pPr>
        <w:pStyle w:val="25"/>
        <w:numPr>
          <w:ilvl w:val="0"/>
          <w:numId w:val="4"/>
        </w:numPr>
        <w:ind w:left="1276"/>
        <w:rPr>
          <w:lang w:eastAsia="zh-CN"/>
        </w:rPr>
      </w:pPr>
      <w:r>
        <w:rPr>
          <w:rFonts w:hint="eastAsia"/>
          <w:lang w:eastAsia="zh-CN"/>
        </w:rPr>
        <w:t>组织和管理层（如管理人员，决策人员或者技术员工）；</w:t>
      </w:r>
    </w:p>
    <w:p>
      <w:pPr>
        <w:pStyle w:val="25"/>
        <w:numPr>
          <w:ilvl w:val="0"/>
          <w:numId w:val="4"/>
        </w:numPr>
        <w:ind w:left="1276"/>
      </w:pPr>
      <w:r>
        <w:rPr>
          <w:rFonts w:hint="eastAsia"/>
          <w:lang w:eastAsia="zh-CN"/>
        </w:rPr>
        <w:t>合同地址和场所信息；</w:t>
      </w:r>
    </w:p>
    <w:p>
      <w:pPr>
        <w:pStyle w:val="25"/>
        <w:numPr>
          <w:ilvl w:val="0"/>
          <w:numId w:val="4"/>
        </w:numPr>
        <w:ind w:left="1276"/>
        <w:rPr>
          <w:lang w:eastAsia="zh-CN"/>
        </w:rPr>
      </w:pPr>
      <w:r>
        <w:rPr>
          <w:rFonts w:hint="eastAsia"/>
          <w:lang w:eastAsia="zh-CN"/>
        </w:rPr>
        <w:t>认证管理体系的运行范围；</w:t>
      </w:r>
    </w:p>
    <w:p>
      <w:pPr>
        <w:pStyle w:val="25"/>
        <w:numPr>
          <w:ilvl w:val="0"/>
          <w:numId w:val="4"/>
        </w:numPr>
        <w:ind w:left="1276"/>
        <w:rPr>
          <w:lang w:eastAsia="zh-CN"/>
        </w:rPr>
      </w:pPr>
      <w:r>
        <w:rPr>
          <w:rFonts w:hint="eastAsia"/>
          <w:lang w:eastAsia="zh-CN"/>
        </w:rPr>
        <w:t>重大的管理体系和过程的变更；</w:t>
      </w:r>
    </w:p>
    <w:p>
      <w:pPr>
        <w:pStyle w:val="25"/>
        <w:numPr>
          <w:ilvl w:val="0"/>
          <w:numId w:val="4"/>
        </w:numPr>
        <w:ind w:left="1276"/>
        <w:rPr>
          <w:lang w:eastAsia="zh-CN"/>
        </w:rPr>
      </w:pPr>
      <w:r>
        <w:rPr>
          <w:rFonts w:hint="eastAsia"/>
          <w:lang w:eastAsia="zh-CN"/>
        </w:rPr>
        <w:t>发生的重大事件，这些事件导致违反相关的法律法规。</w:t>
      </w:r>
    </w:p>
    <w:p>
      <w:pPr>
        <w:ind w:left="360"/>
        <w:rPr>
          <w:lang w:eastAsia="zh-CN"/>
        </w:rPr>
      </w:pPr>
      <w:r>
        <w:rPr>
          <w:rFonts w:hint="eastAsia"/>
          <w:lang w:eastAsia="zh-CN"/>
        </w:rPr>
        <w:t>根据变更的情况，有必要在短期通知情况下开展例行计划审核或者非例行的审核。在此类情况下，认证机构将事先通知客户开展相关审核的条件。</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w:t>
      </w:r>
      <w:r>
        <w:rPr>
          <w:rFonts w:hint="eastAsia" w:eastAsia="宋体"/>
          <w:szCs w:val="18"/>
          <w:lang w:val="en-US" w:eastAsia="zh-CN"/>
        </w:rPr>
        <w:t>6</w:t>
      </w:r>
      <w:r>
        <w:rPr>
          <w:rFonts w:eastAsia="宋体"/>
          <w:szCs w:val="18"/>
          <w:lang w:eastAsia="zh-CN"/>
        </w:rPr>
        <w:t>、安全：客户方有责任确保访问客户方场所的人有足够的保护设备保护他们可能进入的环境。如需要专门培训，从一开始就应向机构披露。请与贵机构联系人提出此事项。</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w:t>
      </w:r>
      <w:r>
        <w:rPr>
          <w:rFonts w:hint="eastAsia" w:eastAsia="宋体"/>
          <w:szCs w:val="18"/>
          <w:lang w:val="en-US" w:eastAsia="zh-CN"/>
        </w:rPr>
        <w:t>7</w:t>
      </w:r>
      <w:r>
        <w:rPr>
          <w:rFonts w:eastAsia="宋体"/>
          <w:szCs w:val="18"/>
          <w:lang w:eastAsia="zh-CN"/>
        </w:rPr>
        <w:t>、保险：双方都应保持第三方责任保险的类型和适合该业务的水平。</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w:t>
      </w:r>
      <w:r>
        <w:rPr>
          <w:rFonts w:hint="eastAsia" w:eastAsia="宋体"/>
          <w:szCs w:val="18"/>
          <w:lang w:val="en-US" w:eastAsia="zh-CN"/>
        </w:rPr>
        <w:t>8</w:t>
      </w:r>
      <w:r>
        <w:rPr>
          <w:rFonts w:eastAsia="宋体"/>
          <w:szCs w:val="18"/>
          <w:lang w:eastAsia="zh-CN"/>
        </w:rPr>
        <w:t>、争议：审核员、被审核方和利益关系方之间发生的任何争议可以通过协议解决。如果争议不能通过协议解决，则客户方可以向认证机构高级官员提出投诉。</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1</w:t>
      </w:r>
      <w:r>
        <w:rPr>
          <w:rFonts w:hint="eastAsia" w:eastAsia="宋体"/>
          <w:szCs w:val="18"/>
          <w:lang w:val="en-US" w:eastAsia="zh-CN"/>
        </w:rPr>
        <w:t>9</w:t>
      </w:r>
      <w:r>
        <w:rPr>
          <w:rFonts w:eastAsia="宋体"/>
          <w:szCs w:val="18"/>
          <w:lang w:eastAsia="zh-CN"/>
        </w:rPr>
        <w:t>、投诉：在收到投诉后，认证机构将根据投诉处理程序处理相关投诉。</w:t>
      </w:r>
    </w:p>
    <w:p>
      <w:pPr>
        <w:ind w:left="567" w:hanging="279"/>
        <w:jc w:val="both"/>
        <w:rPr>
          <w:rFonts w:eastAsia="宋体"/>
          <w:szCs w:val="18"/>
          <w:lang w:eastAsia="zh-CN"/>
        </w:rPr>
      </w:pPr>
    </w:p>
    <w:p>
      <w:pPr>
        <w:ind w:left="567" w:hanging="279"/>
        <w:jc w:val="both"/>
        <w:rPr>
          <w:rFonts w:eastAsia="宋体"/>
          <w:szCs w:val="18"/>
          <w:lang w:eastAsia="zh-CN"/>
        </w:rPr>
      </w:pPr>
      <w:r>
        <w:rPr>
          <w:rFonts w:hint="eastAsia" w:eastAsia="宋体"/>
          <w:szCs w:val="18"/>
          <w:lang w:val="en-US" w:eastAsia="zh-CN"/>
        </w:rPr>
        <w:t>20</w:t>
      </w:r>
      <w:r>
        <w:rPr>
          <w:rFonts w:eastAsia="宋体"/>
          <w:szCs w:val="18"/>
          <w:lang w:eastAsia="zh-CN"/>
        </w:rPr>
        <w:t>、申诉：如果客户方不接受认证机构关于其投诉的决定，他们可以向认证机构理事会提出申诉，要求作出最后决定。</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、其他客户方责任</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.1、遵守国家有关认证认可的相关法律法规。</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.2、对体系运行的有效性和产品质量负责。</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.3、正式审核前，向机构提供真实和有效版本的手册、程序文件和相关证明材料。</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.4、为审核组提供必要的工作条件，如实提供有关文件和记录以及必要的信息和人力。</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.5、协助认证监管部门的监督检查，对有关事项的询问和调查如实提供相关材料和信息。</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.6、按国家有关认证规定，按时进行监督审核并交纳相关审核费用</w:t>
      </w:r>
    </w:p>
    <w:p>
      <w:pPr>
        <w:ind w:left="288" w:firstLine="288"/>
        <w:jc w:val="both"/>
        <w:rPr>
          <w:rFonts w:eastAsia="宋体"/>
          <w:szCs w:val="18"/>
          <w:lang w:eastAsia="zh-CN"/>
        </w:rPr>
      </w:pPr>
      <w:r>
        <w:rPr>
          <w:rFonts w:eastAsia="宋体"/>
          <w:szCs w:val="18"/>
          <w:lang w:eastAsia="zh-CN"/>
        </w:rPr>
        <w:t>2</w:t>
      </w:r>
      <w:r>
        <w:rPr>
          <w:rFonts w:hint="eastAsia" w:eastAsia="宋体"/>
          <w:szCs w:val="18"/>
          <w:lang w:val="en-US" w:eastAsia="zh-CN"/>
        </w:rPr>
        <w:t>1</w:t>
      </w:r>
      <w:r>
        <w:rPr>
          <w:rFonts w:eastAsia="宋体"/>
          <w:szCs w:val="18"/>
          <w:lang w:eastAsia="zh-CN"/>
        </w:rPr>
        <w:t>.7、获得认证证书后发生以下情况，应及时向机构通报：</w:t>
      </w:r>
    </w:p>
    <w:p>
      <w:pPr>
        <w:pStyle w:val="25"/>
        <w:widowControl w:val="0"/>
        <w:numPr>
          <w:ilvl w:val="3"/>
          <w:numId w:val="5"/>
        </w:numPr>
        <w:ind w:left="1276"/>
        <w:jc w:val="both"/>
        <w:rPr>
          <w:rFonts w:eastAsia="宋体"/>
          <w:szCs w:val="18"/>
          <w:lang w:eastAsia="zh-CN"/>
        </w:rPr>
      </w:pPr>
      <w:r>
        <w:rPr>
          <w:rFonts w:eastAsia="宋体"/>
          <w:szCs w:val="18"/>
          <w:lang w:eastAsia="zh-CN"/>
        </w:rPr>
        <w:t>客户及相关方有重大投诉；</w:t>
      </w:r>
    </w:p>
    <w:p>
      <w:pPr>
        <w:pStyle w:val="25"/>
        <w:widowControl w:val="0"/>
        <w:numPr>
          <w:ilvl w:val="3"/>
          <w:numId w:val="5"/>
        </w:numPr>
        <w:ind w:left="1276"/>
        <w:jc w:val="both"/>
        <w:rPr>
          <w:rFonts w:eastAsia="宋体"/>
          <w:szCs w:val="18"/>
          <w:lang w:eastAsia="zh-CN"/>
        </w:rPr>
      </w:pPr>
      <w:r>
        <w:rPr>
          <w:rFonts w:eastAsia="宋体"/>
          <w:szCs w:val="18"/>
          <w:lang w:eastAsia="zh-CN"/>
        </w:rPr>
        <w:t>生产、销售的产品或提供的服务被质量或市场监管部门认定不合格；</w:t>
      </w:r>
    </w:p>
    <w:p>
      <w:pPr>
        <w:pStyle w:val="25"/>
        <w:widowControl w:val="0"/>
        <w:numPr>
          <w:ilvl w:val="3"/>
          <w:numId w:val="5"/>
        </w:numPr>
        <w:ind w:left="1276"/>
        <w:jc w:val="both"/>
        <w:rPr>
          <w:rFonts w:eastAsia="宋体"/>
          <w:szCs w:val="18"/>
          <w:lang w:eastAsia="zh-CN"/>
        </w:rPr>
      </w:pPr>
      <w:r>
        <w:rPr>
          <w:rFonts w:eastAsia="宋体"/>
          <w:szCs w:val="18"/>
          <w:lang w:eastAsia="zh-CN"/>
        </w:rPr>
        <w:t>发生产品或服务的质量安全事故；</w:t>
      </w:r>
    </w:p>
    <w:p>
      <w:pPr>
        <w:pStyle w:val="25"/>
        <w:widowControl w:val="0"/>
        <w:numPr>
          <w:ilvl w:val="3"/>
          <w:numId w:val="5"/>
        </w:numPr>
        <w:ind w:left="1276"/>
        <w:jc w:val="both"/>
        <w:rPr>
          <w:rFonts w:eastAsia="宋体"/>
          <w:szCs w:val="18"/>
          <w:lang w:eastAsia="zh-CN"/>
        </w:rPr>
      </w:pPr>
      <w:r>
        <w:rPr>
          <w:rFonts w:eastAsia="宋体"/>
          <w:szCs w:val="18"/>
          <w:lang w:eastAsia="zh-CN"/>
        </w:rPr>
        <w:t>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pPr>
        <w:pStyle w:val="25"/>
        <w:widowControl w:val="0"/>
        <w:numPr>
          <w:ilvl w:val="3"/>
          <w:numId w:val="5"/>
        </w:numPr>
        <w:ind w:left="1276"/>
        <w:jc w:val="both"/>
        <w:rPr>
          <w:rFonts w:eastAsia="宋体"/>
          <w:szCs w:val="18"/>
          <w:lang w:eastAsia="zh-CN"/>
        </w:rPr>
      </w:pPr>
      <w:r>
        <w:rPr>
          <w:rFonts w:eastAsia="宋体"/>
          <w:szCs w:val="18"/>
          <w:lang w:eastAsia="zh-CN"/>
        </w:rPr>
        <w:t>出现影响质量管理体系运行的其他重要情况。</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2</w:t>
      </w:r>
      <w:r>
        <w:rPr>
          <w:rFonts w:hint="eastAsia" w:eastAsia="宋体"/>
          <w:szCs w:val="18"/>
          <w:lang w:val="en-US" w:eastAsia="zh-CN"/>
        </w:rPr>
        <w:t>2</w:t>
      </w:r>
      <w:r>
        <w:rPr>
          <w:rFonts w:eastAsia="宋体"/>
          <w:szCs w:val="18"/>
          <w:lang w:eastAsia="zh-CN"/>
        </w:rPr>
        <w:t>、关于监督审核</w:t>
      </w:r>
    </w:p>
    <w:p>
      <w:pPr>
        <w:ind w:left="288" w:firstLine="288"/>
        <w:jc w:val="both"/>
        <w:rPr>
          <w:rFonts w:eastAsia="宋体"/>
          <w:szCs w:val="18"/>
          <w:lang w:eastAsia="zh-CN"/>
        </w:rPr>
      </w:pPr>
      <w:r>
        <w:rPr>
          <w:rFonts w:eastAsia="宋体"/>
          <w:szCs w:val="18"/>
          <w:lang w:eastAsia="zh-CN"/>
        </w:rPr>
        <w:t>在管理体系认证证书的有效期内，客户方委托机构对客户方的管理体系实施的符合性及有效性进行监督审核，客户方向机构按时交纳相关费用。</w:t>
      </w:r>
    </w:p>
    <w:p>
      <w:pPr>
        <w:pStyle w:val="25"/>
        <w:widowControl w:val="0"/>
        <w:numPr>
          <w:ilvl w:val="3"/>
          <w:numId w:val="5"/>
        </w:numPr>
        <w:ind w:left="993"/>
        <w:jc w:val="both"/>
        <w:rPr>
          <w:rFonts w:eastAsia="宋体"/>
          <w:szCs w:val="18"/>
          <w:lang w:eastAsia="zh-CN"/>
        </w:rPr>
      </w:pPr>
      <w:r>
        <w:rPr>
          <w:rFonts w:eastAsia="宋体"/>
          <w:szCs w:val="18"/>
          <w:lang w:eastAsia="zh-CN"/>
        </w:rPr>
        <w:t>在管理体系认证证书三年有效期内，客户方委托机构负责对客户方管理体系的符合性、有效性进行监督检查，至少进行两次；</w:t>
      </w:r>
    </w:p>
    <w:p>
      <w:pPr>
        <w:pStyle w:val="25"/>
        <w:widowControl w:val="0"/>
        <w:numPr>
          <w:ilvl w:val="3"/>
          <w:numId w:val="5"/>
        </w:numPr>
        <w:ind w:left="993"/>
        <w:jc w:val="both"/>
        <w:rPr>
          <w:rFonts w:eastAsia="宋体"/>
          <w:szCs w:val="18"/>
          <w:lang w:eastAsia="zh-CN"/>
        </w:rPr>
      </w:pPr>
      <w:r>
        <w:rPr>
          <w:rFonts w:eastAsia="宋体"/>
          <w:szCs w:val="18"/>
          <w:lang w:eastAsia="zh-CN"/>
        </w:rPr>
        <w:t>第一次监督检查在认证证书签发日起12个月内，其后的监督检查间隔时间不得超过12个月，具体审核日期与受审方协商确定，也可随机监审以便了解真实客观情况；</w:t>
      </w:r>
    </w:p>
    <w:p>
      <w:pPr>
        <w:pStyle w:val="25"/>
        <w:widowControl w:val="0"/>
        <w:numPr>
          <w:ilvl w:val="3"/>
          <w:numId w:val="5"/>
        </w:numPr>
        <w:ind w:left="993"/>
        <w:jc w:val="both"/>
        <w:rPr>
          <w:rFonts w:eastAsia="宋体"/>
          <w:szCs w:val="18"/>
          <w:lang w:eastAsia="zh-CN"/>
        </w:rPr>
      </w:pPr>
      <w:r>
        <w:rPr>
          <w:rFonts w:eastAsia="宋体"/>
          <w:szCs w:val="18"/>
          <w:lang w:eastAsia="zh-CN"/>
        </w:rPr>
        <w:t>监督检查的要求与认证审核要求基本一致，但不要求每次监督抽查全部要求，可根据需要，重点抽查有关要求，但三年内各次监查的抽样总和至少应覆盖体系的全部要求和所有的职能部门；</w:t>
      </w:r>
    </w:p>
    <w:p>
      <w:pPr>
        <w:pStyle w:val="25"/>
        <w:widowControl w:val="0"/>
        <w:numPr>
          <w:ilvl w:val="3"/>
          <w:numId w:val="5"/>
        </w:numPr>
        <w:ind w:left="993"/>
        <w:jc w:val="both"/>
        <w:rPr>
          <w:rFonts w:eastAsia="宋体"/>
          <w:szCs w:val="18"/>
          <w:lang w:eastAsia="zh-CN"/>
        </w:rPr>
      </w:pPr>
      <w:r>
        <w:rPr>
          <w:rFonts w:eastAsia="宋体"/>
          <w:szCs w:val="18"/>
          <w:lang w:eastAsia="zh-CN"/>
        </w:rPr>
        <w:t>除以上所述费用外，客户方因自身原因取消监督审核，须向机构支付证书三年有效期内未完成监督审核总费用的20%。</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2</w:t>
      </w:r>
      <w:r>
        <w:rPr>
          <w:rFonts w:hint="eastAsia" w:eastAsia="宋体"/>
          <w:szCs w:val="18"/>
          <w:lang w:val="en-US" w:eastAsia="zh-CN"/>
        </w:rPr>
        <w:t>3</w:t>
      </w:r>
      <w:r>
        <w:rPr>
          <w:rFonts w:eastAsia="宋体"/>
          <w:szCs w:val="18"/>
          <w:lang w:eastAsia="zh-CN"/>
        </w:rPr>
        <w:t>、关于暂停认证。若发生下述情况之一将暂停获证资格：</w:t>
      </w:r>
    </w:p>
    <w:p>
      <w:pPr>
        <w:pStyle w:val="25"/>
        <w:widowControl w:val="0"/>
        <w:numPr>
          <w:ilvl w:val="3"/>
          <w:numId w:val="5"/>
        </w:numPr>
        <w:ind w:left="993"/>
        <w:jc w:val="both"/>
        <w:rPr>
          <w:rFonts w:eastAsia="宋体"/>
          <w:szCs w:val="18"/>
          <w:lang w:eastAsia="zh-CN"/>
        </w:rPr>
      </w:pPr>
      <w:r>
        <w:rPr>
          <w:rFonts w:eastAsia="宋体"/>
          <w:szCs w:val="18"/>
          <w:lang w:eastAsia="zh-CN"/>
        </w:rPr>
        <w:t>不能在机构规定的时限内接受监督审核；</w:t>
      </w:r>
    </w:p>
    <w:p>
      <w:pPr>
        <w:pStyle w:val="25"/>
        <w:widowControl w:val="0"/>
        <w:numPr>
          <w:ilvl w:val="3"/>
          <w:numId w:val="5"/>
        </w:numPr>
        <w:ind w:left="993"/>
        <w:jc w:val="both"/>
        <w:rPr>
          <w:rFonts w:eastAsia="宋体"/>
          <w:szCs w:val="18"/>
          <w:lang w:eastAsia="zh-CN"/>
        </w:rPr>
      </w:pPr>
      <w:r>
        <w:rPr>
          <w:rFonts w:eastAsia="宋体"/>
          <w:szCs w:val="18"/>
          <w:lang w:eastAsia="zh-CN"/>
        </w:rPr>
        <w:t>未按规定及时交纳有关认证费用；</w:t>
      </w:r>
    </w:p>
    <w:p>
      <w:pPr>
        <w:pStyle w:val="25"/>
        <w:widowControl w:val="0"/>
        <w:numPr>
          <w:ilvl w:val="3"/>
          <w:numId w:val="5"/>
        </w:numPr>
        <w:ind w:left="993"/>
        <w:jc w:val="both"/>
        <w:rPr>
          <w:rFonts w:eastAsia="宋体"/>
          <w:szCs w:val="18"/>
          <w:lang w:eastAsia="zh-CN"/>
        </w:rPr>
      </w:pPr>
      <w:r>
        <w:rPr>
          <w:rFonts w:eastAsia="宋体"/>
          <w:szCs w:val="18"/>
          <w:lang w:eastAsia="zh-CN"/>
        </w:rPr>
        <w:t>在监督审核中发现的不符合项（严重不符合项），在商定的时间内采取的纠正、纠正措施未被接受或未被证实有效；</w:t>
      </w:r>
    </w:p>
    <w:p>
      <w:pPr>
        <w:pStyle w:val="25"/>
        <w:widowControl w:val="0"/>
        <w:numPr>
          <w:ilvl w:val="3"/>
          <w:numId w:val="5"/>
        </w:numPr>
        <w:ind w:left="993"/>
        <w:jc w:val="both"/>
        <w:rPr>
          <w:rFonts w:eastAsia="宋体"/>
          <w:szCs w:val="18"/>
          <w:lang w:eastAsia="zh-CN"/>
        </w:rPr>
      </w:pPr>
      <w:r>
        <w:rPr>
          <w:rFonts w:eastAsia="宋体"/>
          <w:szCs w:val="18"/>
          <w:lang w:eastAsia="zh-CN"/>
        </w:rPr>
        <w:t>获证管理体系持续或严重不满足认证要求，包括对管理体系运行有效性要求的；</w:t>
      </w:r>
    </w:p>
    <w:p>
      <w:pPr>
        <w:pStyle w:val="25"/>
        <w:widowControl w:val="0"/>
        <w:numPr>
          <w:ilvl w:val="3"/>
          <w:numId w:val="5"/>
        </w:numPr>
        <w:ind w:left="993"/>
        <w:jc w:val="both"/>
        <w:rPr>
          <w:rFonts w:eastAsia="宋体"/>
          <w:szCs w:val="18"/>
          <w:lang w:eastAsia="zh-CN"/>
        </w:rPr>
      </w:pPr>
      <w:r>
        <w:rPr>
          <w:rFonts w:eastAsia="宋体"/>
          <w:szCs w:val="18"/>
          <w:lang w:eastAsia="zh-CN"/>
        </w:rPr>
        <w:t>未按要求使用本机构签发的管理体系证书和认证标志；</w:t>
      </w:r>
    </w:p>
    <w:p>
      <w:pPr>
        <w:pStyle w:val="25"/>
        <w:widowControl w:val="0"/>
        <w:numPr>
          <w:ilvl w:val="3"/>
          <w:numId w:val="5"/>
        </w:numPr>
        <w:ind w:left="993"/>
        <w:jc w:val="both"/>
        <w:rPr>
          <w:rFonts w:eastAsia="宋体"/>
          <w:szCs w:val="18"/>
          <w:lang w:eastAsia="zh-CN"/>
        </w:rPr>
      </w:pPr>
      <w:r>
        <w:rPr>
          <w:rFonts w:eastAsia="宋体"/>
          <w:szCs w:val="18"/>
          <w:lang w:eastAsia="zh-CN"/>
        </w:rPr>
        <w:t>管理体系发生重大变更已不满足原认证覆盖范围要求，未及时通知机构得到妥善处理；</w:t>
      </w:r>
    </w:p>
    <w:p>
      <w:pPr>
        <w:pStyle w:val="25"/>
        <w:widowControl w:val="0"/>
        <w:numPr>
          <w:ilvl w:val="3"/>
          <w:numId w:val="5"/>
        </w:numPr>
        <w:ind w:left="993"/>
        <w:jc w:val="both"/>
        <w:rPr>
          <w:rFonts w:eastAsia="宋体"/>
          <w:szCs w:val="18"/>
          <w:lang w:eastAsia="zh-CN"/>
        </w:rPr>
      </w:pPr>
      <w:r>
        <w:rPr>
          <w:rFonts w:eastAsia="宋体"/>
          <w:szCs w:val="18"/>
          <w:lang w:eastAsia="zh-CN"/>
        </w:rPr>
        <w:t>发生影响产品质量/环境绩效的重大事故，或国家行业监查发现重大问题，被有关执法监管部门责令停业整顿的；</w:t>
      </w:r>
    </w:p>
    <w:p>
      <w:pPr>
        <w:pStyle w:val="25"/>
        <w:widowControl w:val="0"/>
        <w:numPr>
          <w:ilvl w:val="3"/>
          <w:numId w:val="5"/>
        </w:numPr>
        <w:ind w:left="993"/>
        <w:jc w:val="both"/>
        <w:rPr>
          <w:rFonts w:eastAsia="宋体"/>
          <w:szCs w:val="18"/>
          <w:lang w:eastAsia="zh-CN"/>
        </w:rPr>
      </w:pPr>
      <w:r>
        <w:rPr>
          <w:rFonts w:eastAsia="宋体"/>
          <w:szCs w:val="18"/>
          <w:lang w:eastAsia="zh-CN"/>
        </w:rPr>
        <w:t>特殊行业，在特定时期国家有要求予以暂停的；</w:t>
      </w:r>
    </w:p>
    <w:p>
      <w:pPr>
        <w:pStyle w:val="25"/>
        <w:widowControl w:val="0"/>
        <w:numPr>
          <w:ilvl w:val="3"/>
          <w:numId w:val="5"/>
        </w:numPr>
        <w:ind w:left="993"/>
        <w:jc w:val="both"/>
        <w:rPr>
          <w:rFonts w:eastAsia="宋体"/>
          <w:szCs w:val="18"/>
          <w:lang w:eastAsia="zh-CN"/>
        </w:rPr>
      </w:pPr>
      <w:r>
        <w:rPr>
          <w:rFonts w:eastAsia="宋体"/>
          <w:szCs w:val="18"/>
          <w:lang w:eastAsia="zh-CN"/>
        </w:rPr>
        <w:t>对其投诉或任何其它信息证实表明获证组织不再符合我机构的相关规定要求；</w:t>
      </w:r>
    </w:p>
    <w:p>
      <w:pPr>
        <w:pStyle w:val="25"/>
        <w:widowControl w:val="0"/>
        <w:numPr>
          <w:ilvl w:val="3"/>
          <w:numId w:val="5"/>
        </w:numPr>
        <w:ind w:left="993"/>
        <w:jc w:val="both"/>
        <w:rPr>
          <w:rFonts w:eastAsia="宋体"/>
          <w:szCs w:val="18"/>
          <w:lang w:eastAsia="zh-CN"/>
        </w:rPr>
      </w:pPr>
      <w:r>
        <w:rPr>
          <w:rFonts w:eastAsia="宋体"/>
          <w:szCs w:val="18"/>
          <w:lang w:eastAsia="zh-CN"/>
        </w:rPr>
        <w:t>被地方认证监管部门发现体系运行存在问题，需要暂停证书的；</w:t>
      </w:r>
    </w:p>
    <w:p>
      <w:pPr>
        <w:pStyle w:val="25"/>
        <w:widowControl w:val="0"/>
        <w:numPr>
          <w:ilvl w:val="3"/>
          <w:numId w:val="5"/>
        </w:numPr>
        <w:ind w:left="993"/>
        <w:jc w:val="both"/>
        <w:rPr>
          <w:rFonts w:eastAsia="宋体"/>
          <w:szCs w:val="18"/>
          <w:lang w:eastAsia="zh-CN"/>
        </w:rPr>
      </w:pPr>
      <w:r>
        <w:rPr>
          <w:rFonts w:eastAsia="宋体"/>
          <w:szCs w:val="18"/>
          <w:lang w:eastAsia="zh-CN"/>
        </w:rPr>
        <w:t>持有的与管理体系范围有关的行政许可证明、资质证书、强制性认证证书等过期失效，重新提交的申请已被受理但尚未换证的；</w:t>
      </w:r>
    </w:p>
    <w:p>
      <w:pPr>
        <w:pStyle w:val="25"/>
        <w:widowControl w:val="0"/>
        <w:numPr>
          <w:ilvl w:val="3"/>
          <w:numId w:val="5"/>
        </w:numPr>
        <w:ind w:left="993"/>
        <w:jc w:val="both"/>
        <w:rPr>
          <w:rFonts w:eastAsia="宋体"/>
          <w:szCs w:val="18"/>
          <w:lang w:eastAsia="zh-CN"/>
        </w:rPr>
      </w:pPr>
      <w:r>
        <w:rPr>
          <w:rFonts w:eastAsia="宋体"/>
          <w:szCs w:val="18"/>
          <w:lang w:eastAsia="zh-CN"/>
        </w:rPr>
        <w:t>不承担、履行认证合同约定的责任和义务的；</w:t>
      </w:r>
    </w:p>
    <w:p>
      <w:pPr>
        <w:pStyle w:val="25"/>
        <w:widowControl w:val="0"/>
        <w:numPr>
          <w:ilvl w:val="3"/>
          <w:numId w:val="5"/>
        </w:numPr>
        <w:ind w:left="993"/>
        <w:jc w:val="both"/>
        <w:rPr>
          <w:rFonts w:eastAsia="宋体"/>
          <w:szCs w:val="18"/>
          <w:lang w:eastAsia="zh-CN"/>
        </w:rPr>
      </w:pPr>
      <w:r>
        <w:rPr>
          <w:rFonts w:eastAsia="宋体"/>
          <w:szCs w:val="18"/>
          <w:lang w:eastAsia="zh-CN"/>
        </w:rPr>
        <w:t>获证组织主动请求暂停的；</w:t>
      </w:r>
    </w:p>
    <w:p>
      <w:pPr>
        <w:pStyle w:val="25"/>
        <w:widowControl w:val="0"/>
        <w:numPr>
          <w:ilvl w:val="3"/>
          <w:numId w:val="5"/>
        </w:numPr>
        <w:ind w:left="993"/>
        <w:jc w:val="both"/>
        <w:rPr>
          <w:rFonts w:eastAsia="宋体"/>
          <w:szCs w:val="18"/>
          <w:lang w:eastAsia="zh-CN"/>
        </w:rPr>
      </w:pPr>
      <w:r>
        <w:rPr>
          <w:rFonts w:eastAsia="宋体"/>
          <w:szCs w:val="18"/>
          <w:lang w:eastAsia="zh-CN"/>
        </w:rPr>
        <w:t>其他不满足机构认证要求的情况，应当暂停认证证书的。</w:t>
      </w:r>
    </w:p>
    <w:p>
      <w:pPr>
        <w:ind w:left="567" w:hanging="279"/>
        <w:jc w:val="both"/>
        <w:rPr>
          <w:rFonts w:eastAsia="宋体"/>
          <w:szCs w:val="18"/>
          <w:lang w:eastAsia="zh-CN"/>
        </w:rPr>
      </w:pPr>
    </w:p>
    <w:p>
      <w:pPr>
        <w:ind w:left="567" w:hanging="279"/>
        <w:jc w:val="both"/>
        <w:rPr>
          <w:rFonts w:eastAsia="宋体"/>
          <w:szCs w:val="18"/>
          <w:lang w:eastAsia="zh-CN"/>
        </w:rPr>
      </w:pPr>
      <w:r>
        <w:rPr>
          <w:rFonts w:eastAsia="宋体"/>
          <w:szCs w:val="18"/>
          <w:lang w:eastAsia="zh-CN"/>
        </w:rPr>
        <w:t>2</w:t>
      </w:r>
      <w:r>
        <w:rPr>
          <w:rFonts w:hint="eastAsia" w:eastAsia="宋体"/>
          <w:szCs w:val="18"/>
          <w:lang w:val="en-US" w:eastAsia="zh-CN"/>
        </w:rPr>
        <w:t>4</w:t>
      </w:r>
      <w:r>
        <w:rPr>
          <w:rFonts w:eastAsia="宋体"/>
          <w:szCs w:val="18"/>
          <w:lang w:eastAsia="zh-CN"/>
        </w:rPr>
        <w:t>、关于撤销认证，若发生下述情况之一将撤销获证资格：</w:t>
      </w:r>
    </w:p>
    <w:p>
      <w:pPr>
        <w:pStyle w:val="25"/>
        <w:widowControl w:val="0"/>
        <w:numPr>
          <w:ilvl w:val="3"/>
          <w:numId w:val="6"/>
        </w:numPr>
        <w:ind w:left="993"/>
        <w:jc w:val="both"/>
        <w:rPr>
          <w:rFonts w:eastAsia="宋体"/>
          <w:szCs w:val="18"/>
          <w:lang w:eastAsia="zh-CN"/>
        </w:rPr>
      </w:pPr>
      <w:r>
        <w:rPr>
          <w:rFonts w:eastAsia="宋体"/>
          <w:szCs w:val="18"/>
          <w:lang w:eastAsia="zh-CN"/>
        </w:rPr>
        <w:t>被注销或撤销法律地位证明文件的，破产或严重违反国家法律法规或机构有关规定的获证组织；</w:t>
      </w:r>
    </w:p>
    <w:p>
      <w:pPr>
        <w:pStyle w:val="25"/>
        <w:widowControl w:val="0"/>
        <w:numPr>
          <w:ilvl w:val="3"/>
          <w:numId w:val="6"/>
        </w:numPr>
        <w:ind w:left="993"/>
        <w:jc w:val="both"/>
        <w:rPr>
          <w:rFonts w:eastAsia="宋体"/>
          <w:szCs w:val="18"/>
          <w:lang w:eastAsia="zh-CN"/>
        </w:rPr>
      </w:pPr>
      <w:r>
        <w:rPr>
          <w:rFonts w:eastAsia="宋体"/>
          <w:szCs w:val="18"/>
          <w:lang w:eastAsia="zh-CN"/>
        </w:rPr>
        <w:t>拒绝配合认证监管部门实施的监督检查，或者对有关事项的询问和调查提供了虚假材料或信息的；</w:t>
      </w:r>
    </w:p>
    <w:p>
      <w:pPr>
        <w:pStyle w:val="25"/>
        <w:widowControl w:val="0"/>
        <w:numPr>
          <w:ilvl w:val="3"/>
          <w:numId w:val="6"/>
        </w:numPr>
        <w:ind w:left="993"/>
        <w:jc w:val="both"/>
        <w:rPr>
          <w:rFonts w:eastAsia="宋体"/>
          <w:szCs w:val="18"/>
          <w:lang w:eastAsia="zh-CN"/>
        </w:rPr>
      </w:pPr>
      <w:r>
        <w:rPr>
          <w:rFonts w:eastAsia="宋体"/>
          <w:szCs w:val="18"/>
          <w:lang w:val="en-US" w:eastAsia="zh-CN"/>
        </w:rPr>
        <w:t>暂停认证证书的期限已满但导致暂停的问题未得到解决或纠正的（包括持有的与管理体系范围有关的行政许可证明、资质证书、强制性认证证书等已经过期失效但申请未获批准）；</w:t>
      </w:r>
    </w:p>
    <w:p>
      <w:pPr>
        <w:pStyle w:val="25"/>
        <w:widowControl w:val="0"/>
        <w:numPr>
          <w:ilvl w:val="3"/>
          <w:numId w:val="6"/>
        </w:numPr>
        <w:ind w:left="993"/>
        <w:jc w:val="both"/>
        <w:rPr>
          <w:rFonts w:eastAsia="宋体"/>
          <w:szCs w:val="18"/>
          <w:lang w:eastAsia="zh-CN"/>
        </w:rPr>
      </w:pPr>
      <w:r>
        <w:rPr>
          <w:rFonts w:eastAsia="宋体"/>
          <w:szCs w:val="18"/>
          <w:lang w:val="en-US" w:eastAsia="zh-CN"/>
        </w:rPr>
        <w:t>出现重大的产品和服务等质量、环境安全事故，</w:t>
      </w:r>
      <w:r>
        <w:rPr>
          <w:rFonts w:eastAsia="宋体"/>
          <w:szCs w:val="18"/>
          <w:lang w:eastAsia="zh-CN"/>
        </w:rPr>
        <w:t>造成严重不良社会影响的，经执法监管部门确认（或认证机构审核）造成事故的原因是因为获证组织违规或体系存在严重缺陷或组织未能在暂停期内就重大事故的原因进行调查并采取有效的纠正措施的；</w:t>
      </w:r>
    </w:p>
    <w:p>
      <w:pPr>
        <w:pStyle w:val="25"/>
        <w:widowControl w:val="0"/>
        <w:numPr>
          <w:ilvl w:val="3"/>
          <w:numId w:val="6"/>
        </w:numPr>
        <w:ind w:left="993"/>
        <w:jc w:val="both"/>
        <w:rPr>
          <w:rFonts w:eastAsia="宋体"/>
          <w:szCs w:val="18"/>
          <w:lang w:eastAsia="zh-CN"/>
        </w:rPr>
      </w:pPr>
      <w:r>
        <w:rPr>
          <w:rFonts w:eastAsia="宋体"/>
          <w:szCs w:val="18"/>
          <w:lang w:eastAsia="zh-CN"/>
        </w:rPr>
        <w:t>未按规定及时交纳有关认证费用；</w:t>
      </w:r>
    </w:p>
    <w:p>
      <w:pPr>
        <w:pStyle w:val="25"/>
        <w:widowControl w:val="0"/>
        <w:numPr>
          <w:ilvl w:val="3"/>
          <w:numId w:val="6"/>
        </w:numPr>
        <w:ind w:left="993"/>
        <w:jc w:val="both"/>
        <w:rPr>
          <w:rFonts w:eastAsia="宋体"/>
          <w:szCs w:val="18"/>
          <w:lang w:eastAsia="zh-CN"/>
        </w:rPr>
      </w:pPr>
      <w:r>
        <w:rPr>
          <w:rFonts w:eastAsia="宋体"/>
          <w:szCs w:val="18"/>
          <w:lang w:eastAsia="zh-CN"/>
        </w:rPr>
        <w:t>没有运行管理体系或者已不具备运行条件的；</w:t>
      </w:r>
    </w:p>
    <w:p>
      <w:pPr>
        <w:pStyle w:val="25"/>
        <w:widowControl w:val="0"/>
        <w:numPr>
          <w:ilvl w:val="3"/>
          <w:numId w:val="6"/>
        </w:numPr>
        <w:ind w:left="993"/>
        <w:jc w:val="both"/>
        <w:rPr>
          <w:rFonts w:eastAsia="宋体"/>
          <w:szCs w:val="18"/>
          <w:lang w:eastAsia="zh-CN"/>
        </w:rPr>
      </w:pPr>
      <w:r>
        <w:rPr>
          <w:rFonts w:eastAsia="宋体"/>
          <w:szCs w:val="18"/>
          <w:lang w:eastAsia="zh-CN"/>
        </w:rPr>
        <w:t>不按相关规定正确引用和宣传获得的认证信息，造成严重影响或后果，或者认证机构已要求其纠正但超过</w:t>
      </w:r>
      <w:r>
        <w:rPr>
          <w:rFonts w:eastAsia="宋体"/>
          <w:szCs w:val="18"/>
          <w:lang w:val="en-US" w:eastAsia="zh-CN"/>
        </w:rPr>
        <w:t>2个月仍未纠正的；</w:t>
      </w:r>
    </w:p>
    <w:p>
      <w:pPr>
        <w:pStyle w:val="25"/>
        <w:widowControl w:val="0"/>
        <w:numPr>
          <w:ilvl w:val="3"/>
          <w:numId w:val="6"/>
        </w:numPr>
        <w:ind w:left="993"/>
        <w:jc w:val="both"/>
        <w:rPr>
          <w:rFonts w:eastAsia="宋体"/>
          <w:szCs w:val="18"/>
          <w:lang w:eastAsia="zh-CN"/>
        </w:rPr>
      </w:pPr>
      <w:r>
        <w:rPr>
          <w:rFonts w:eastAsia="宋体"/>
          <w:szCs w:val="18"/>
          <w:lang w:eastAsia="zh-CN"/>
        </w:rPr>
        <w:t>获证组织主动要求撤销证书的；</w:t>
      </w:r>
    </w:p>
    <w:p>
      <w:pPr>
        <w:pStyle w:val="25"/>
        <w:widowControl w:val="0"/>
        <w:numPr>
          <w:ilvl w:val="3"/>
          <w:numId w:val="6"/>
        </w:numPr>
        <w:ind w:left="993"/>
        <w:jc w:val="both"/>
        <w:rPr>
          <w:rFonts w:eastAsia="宋体"/>
          <w:szCs w:val="18"/>
          <w:lang w:val="en-US" w:eastAsia="zh-CN"/>
        </w:rPr>
      </w:pPr>
      <w:r>
        <w:rPr>
          <w:rFonts w:eastAsia="宋体"/>
          <w:szCs w:val="18"/>
          <w:lang w:val="en-US" w:eastAsia="zh-CN"/>
        </w:rPr>
        <w:t>被国家质量监督检验检疫总局列入质量信用严重失信企业名单；</w:t>
      </w:r>
    </w:p>
    <w:p>
      <w:pPr>
        <w:pStyle w:val="25"/>
        <w:widowControl w:val="0"/>
        <w:numPr>
          <w:ilvl w:val="3"/>
          <w:numId w:val="6"/>
        </w:numPr>
        <w:ind w:left="993"/>
        <w:jc w:val="both"/>
        <w:rPr>
          <w:rFonts w:eastAsia="宋体"/>
          <w:szCs w:val="18"/>
          <w:lang w:val="en-US" w:eastAsia="zh-CN"/>
        </w:rPr>
      </w:pPr>
      <w:r>
        <w:rPr>
          <w:rFonts w:eastAsia="宋体"/>
          <w:szCs w:val="18"/>
          <w:lang w:val="en-US" w:eastAsia="zh-CN"/>
        </w:rPr>
        <w:t>拒绝接受国家产品质量监督抽查的；</w:t>
      </w:r>
    </w:p>
    <w:p>
      <w:pPr>
        <w:pStyle w:val="25"/>
        <w:widowControl w:val="0"/>
        <w:numPr>
          <w:ilvl w:val="3"/>
          <w:numId w:val="6"/>
        </w:numPr>
        <w:ind w:left="993"/>
        <w:jc w:val="both"/>
        <w:rPr>
          <w:rFonts w:eastAsia="宋体"/>
          <w:szCs w:val="18"/>
          <w:lang w:eastAsia="zh-CN"/>
        </w:rPr>
      </w:pPr>
      <w:r>
        <w:rPr>
          <w:rFonts w:eastAsia="宋体"/>
          <w:szCs w:val="18"/>
          <w:lang w:eastAsia="zh-CN"/>
        </w:rPr>
        <w:t>其他重大影响管理体系有效性的情况，应当撤销认证证书的。</w:t>
      </w:r>
    </w:p>
    <w:p>
      <w:pPr>
        <w:ind w:left="567" w:hanging="279"/>
        <w:jc w:val="both"/>
        <w:rPr>
          <w:rFonts w:eastAsia="宋体"/>
          <w:szCs w:val="18"/>
          <w:lang w:eastAsia="zh-CN"/>
        </w:rPr>
      </w:pPr>
    </w:p>
    <w:p>
      <w:pPr>
        <w:numPr>
          <w:ilvl w:val="0"/>
          <w:numId w:val="7"/>
        </w:numPr>
        <w:ind w:left="567" w:hanging="279"/>
        <w:jc w:val="both"/>
        <w:rPr>
          <w:rFonts w:eastAsia="宋体"/>
          <w:szCs w:val="18"/>
          <w:lang w:eastAsia="zh-CN"/>
        </w:rPr>
      </w:pPr>
      <w:r>
        <w:rPr>
          <w:rFonts w:eastAsia="宋体"/>
          <w:szCs w:val="18"/>
          <w:lang w:eastAsia="zh-CN"/>
        </w:rPr>
        <w:t>本合同一式两份，自签字之日起生效，甲乙双方各持一份，具有同等的法律效力。合同执行中的未尽事宜，经双方协商一致后，签定补充协议</w:t>
      </w:r>
    </w:p>
    <w:tbl>
      <w:tblPr>
        <w:tblStyle w:val="19"/>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4"/>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tcPr>
          <w:p>
            <w:pPr>
              <w:rPr>
                <w:rFonts w:eastAsia="宋体"/>
                <w:szCs w:val="18"/>
                <w:lang w:eastAsia="zh-CN"/>
              </w:rPr>
            </w:pPr>
            <w:r>
              <w:rPr>
                <w:rFonts w:eastAsia="宋体"/>
                <w:szCs w:val="18"/>
                <w:lang w:eastAsia="zh-CN"/>
              </w:rPr>
              <w:t>客户方</w:t>
            </w:r>
            <w:r>
              <w:rPr>
                <w:rFonts w:hint="eastAsia" w:eastAsia="宋体"/>
                <w:szCs w:val="18"/>
                <w:lang w:eastAsia="zh-CN"/>
              </w:rPr>
              <w:t>：</w:t>
            </w:r>
            <w:r>
              <w:rPr>
                <w:rFonts w:eastAsia="宋体"/>
                <w:szCs w:val="18"/>
                <w:lang w:eastAsia="zh-CN"/>
              </w:rPr>
              <w:t xml:space="preserve"> </w:t>
            </w:r>
          </w:p>
          <w:p>
            <w:pPr>
              <w:rPr>
                <w:rFonts w:eastAsia="宋体"/>
                <w:szCs w:val="18"/>
                <w:lang w:eastAsia="zh-CN"/>
              </w:rPr>
            </w:pPr>
          </w:p>
          <w:p>
            <w:pPr>
              <w:rPr>
                <w:rFonts w:eastAsia="宋体"/>
                <w:szCs w:val="18"/>
                <w:highlight w:val="yellow"/>
                <w:lang w:eastAsia="zh-CN"/>
              </w:rPr>
            </w:pPr>
            <w:r>
              <w:rPr>
                <w:rFonts w:eastAsia="宋体"/>
                <w:szCs w:val="18"/>
                <w:highlight w:val="yellow"/>
                <w:lang w:eastAsia="zh-CN"/>
              </w:rPr>
              <w:t xml:space="preserve">姓名： </w:t>
            </w:r>
          </w:p>
          <w:p>
            <w:pPr>
              <w:rPr>
                <w:rFonts w:eastAsia="宋体"/>
                <w:szCs w:val="18"/>
                <w:highlight w:val="yellow"/>
                <w:lang w:eastAsia="zh-CN"/>
              </w:rPr>
            </w:pPr>
          </w:p>
          <w:p>
            <w:pPr>
              <w:rPr>
                <w:rFonts w:eastAsia="宋体"/>
                <w:szCs w:val="18"/>
                <w:highlight w:val="yellow"/>
                <w:lang w:eastAsia="zh-CN"/>
              </w:rPr>
            </w:pPr>
            <w:r>
              <w:rPr>
                <w:rFonts w:eastAsia="宋体"/>
                <w:szCs w:val="18"/>
                <w:highlight w:val="yellow"/>
                <w:lang w:eastAsia="zh-CN"/>
              </w:rPr>
              <w:t>职位：</w:t>
            </w:r>
          </w:p>
          <w:p>
            <w:pPr>
              <w:rPr>
                <w:rFonts w:eastAsia="宋体"/>
                <w:szCs w:val="18"/>
                <w:highlight w:val="yellow"/>
                <w:lang w:eastAsia="zh-CN"/>
              </w:rPr>
            </w:pPr>
          </w:p>
          <w:p>
            <w:pPr>
              <w:rPr>
                <w:rFonts w:eastAsia="宋体"/>
                <w:szCs w:val="18"/>
                <w:highlight w:val="yellow"/>
                <w:lang w:eastAsia="zh-CN"/>
              </w:rPr>
            </w:pPr>
            <w:r>
              <w:rPr>
                <w:rFonts w:eastAsia="宋体"/>
                <w:szCs w:val="18"/>
                <w:highlight w:val="yellow"/>
                <w:lang w:eastAsia="zh-CN"/>
              </w:rPr>
              <w:t>盖章：</w:t>
            </w:r>
          </w:p>
          <w:p>
            <w:pPr>
              <w:rPr>
                <w:rFonts w:eastAsia="宋体"/>
                <w:szCs w:val="18"/>
                <w:highlight w:val="yellow"/>
                <w:lang w:eastAsia="zh-CN"/>
              </w:rPr>
            </w:pPr>
          </w:p>
          <w:p>
            <w:pPr>
              <w:rPr>
                <w:rFonts w:eastAsia="宋体"/>
                <w:szCs w:val="18"/>
                <w:lang w:eastAsia="zh-CN"/>
              </w:rPr>
            </w:pPr>
            <w:r>
              <w:rPr>
                <w:rFonts w:eastAsia="宋体"/>
                <w:szCs w:val="18"/>
                <w:highlight w:val="yellow"/>
                <w:lang w:eastAsia="zh-CN"/>
              </w:rPr>
              <w:t>日期</w:t>
            </w:r>
            <w:r>
              <w:rPr>
                <w:rFonts w:eastAsia="宋体"/>
                <w:szCs w:val="18"/>
                <w:lang w:eastAsia="zh-CN"/>
              </w:rPr>
              <w:t>：</w:t>
            </w:r>
          </w:p>
        </w:tc>
        <w:tc>
          <w:tcPr>
            <w:tcW w:w="4814" w:type="dxa"/>
          </w:tcPr>
          <w:p>
            <w:pPr>
              <w:rPr>
                <w:rFonts w:eastAsia="宋体"/>
                <w:szCs w:val="18"/>
                <w:lang w:val="en-US" w:eastAsia="zh-CN"/>
              </w:rPr>
            </w:pPr>
            <w:r>
              <w:rPr>
                <w:rFonts w:eastAsia="宋体"/>
                <w:szCs w:val="18"/>
                <w:lang w:eastAsia="zh-CN"/>
              </w:rPr>
              <w:t>认证机构</w:t>
            </w:r>
            <w:r>
              <w:rPr>
                <w:rFonts w:hint="eastAsia" w:eastAsia="宋体"/>
                <w:szCs w:val="18"/>
                <w:lang w:eastAsia="zh-CN"/>
              </w:rPr>
              <w:t>：江苏中可认证有限公司</w:t>
            </w:r>
          </w:p>
          <w:p>
            <w:pPr>
              <w:rPr>
                <w:rFonts w:eastAsia="宋体"/>
                <w:szCs w:val="18"/>
                <w:lang w:eastAsia="zh-CN"/>
              </w:rPr>
            </w:pPr>
          </w:p>
          <w:p>
            <w:pPr>
              <w:rPr>
                <w:rFonts w:eastAsia="宋体"/>
                <w:szCs w:val="18"/>
                <w:lang w:eastAsia="zh-CN"/>
              </w:rPr>
            </w:pPr>
            <w:r>
              <w:rPr>
                <w:rFonts w:eastAsia="宋体"/>
                <w:szCs w:val="18"/>
                <w:lang w:eastAsia="zh-CN"/>
              </w:rPr>
              <w:t>姓名：</w:t>
            </w:r>
          </w:p>
          <w:p>
            <w:pPr>
              <w:rPr>
                <w:rFonts w:eastAsia="宋体"/>
                <w:szCs w:val="18"/>
                <w:lang w:eastAsia="zh-CN"/>
              </w:rPr>
            </w:pPr>
          </w:p>
          <w:p>
            <w:pPr>
              <w:rPr>
                <w:rFonts w:eastAsia="宋体"/>
                <w:szCs w:val="18"/>
                <w:lang w:eastAsia="zh-CN"/>
              </w:rPr>
            </w:pPr>
            <w:r>
              <w:rPr>
                <w:rFonts w:eastAsia="宋体"/>
                <w:szCs w:val="18"/>
                <w:lang w:eastAsia="zh-CN"/>
              </w:rPr>
              <w:t>职位：</w:t>
            </w:r>
          </w:p>
          <w:p>
            <w:pPr>
              <w:rPr>
                <w:rFonts w:eastAsia="宋体"/>
                <w:szCs w:val="18"/>
                <w:lang w:eastAsia="zh-CN"/>
              </w:rPr>
            </w:pPr>
          </w:p>
          <w:p>
            <w:pPr>
              <w:rPr>
                <w:rFonts w:eastAsia="宋体"/>
                <w:szCs w:val="18"/>
                <w:lang w:eastAsia="zh-CN"/>
              </w:rPr>
            </w:pPr>
            <w:r>
              <w:rPr>
                <w:rFonts w:eastAsia="宋体"/>
                <w:szCs w:val="18"/>
                <w:lang w:eastAsia="zh-CN"/>
              </w:rPr>
              <w:t>盖章：</w:t>
            </w:r>
          </w:p>
          <w:p>
            <w:pPr>
              <w:rPr>
                <w:rFonts w:eastAsia="宋体"/>
                <w:szCs w:val="18"/>
                <w:lang w:eastAsia="zh-CN"/>
              </w:rPr>
            </w:pPr>
          </w:p>
          <w:p>
            <w:pPr>
              <w:rPr>
                <w:rFonts w:eastAsia="宋体"/>
                <w:szCs w:val="18"/>
                <w:lang w:eastAsia="zh-CN"/>
              </w:rPr>
            </w:pPr>
            <w:r>
              <w:rPr>
                <w:rFonts w:eastAsia="宋体"/>
                <w:szCs w:val="18"/>
                <w:lang w:eastAsia="zh-CN"/>
              </w:rPr>
              <w:t>日期：</w:t>
            </w:r>
          </w:p>
        </w:tc>
      </w:tr>
    </w:tbl>
    <w:p>
      <w:pPr>
        <w:ind w:left="567" w:hanging="279"/>
        <w:jc w:val="both"/>
        <w:rPr>
          <w:rFonts w:eastAsia="宋体"/>
          <w:sz w:val="20"/>
          <w:lang w:eastAsia="zh-CN"/>
        </w:rPr>
      </w:pPr>
    </w:p>
    <w:sectPr>
      <w:headerReference r:id="rId3" w:type="default"/>
      <w:footerReference r:id="rId4" w:type="default"/>
      <w:pgSz w:w="11907" w:h="16834"/>
      <w:pgMar w:top="1660" w:right="851" w:bottom="1134" w:left="851" w:header="567" w:footer="283" w:gutter="0"/>
      <w:pgNumType w:start="1"/>
      <w:cols w:space="720" w:num="1"/>
      <w:docGrid w:linePitch="2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00" w:firstLineChars="200"/>
      <w:rPr>
        <w:rFonts w:ascii="Calibri" w:hAnsi="Calibri"/>
        <w:sz w:val="20"/>
      </w:rPr>
    </w:pPr>
    <w:r>
      <w:rPr>
        <w:rFonts w:hint="eastAsia" w:ascii="Calibri" w:hAnsi="Calibri"/>
        <w:sz w:val="20"/>
        <w:lang w:eastAsia="zh-CN"/>
      </w:rPr>
      <w:t>编号：</w:t>
    </w:r>
    <w:r>
      <w:t>CIIV-CX-03-2020-03</w:t>
    </w:r>
  </w:p>
  <w:p>
    <w:pPr>
      <w:spacing w:after="200" w:line="276" w:lineRule="auto"/>
      <w:jc w:val="center"/>
      <w:rPr>
        <w:rFonts w:ascii="Calibri" w:hAnsi="Calibri"/>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drawing>
        <wp:inline distT="0" distB="0" distL="0" distR="0">
          <wp:extent cx="1114425" cy="389890"/>
          <wp:effectExtent l="0" t="0" r="9525" b="10160"/>
          <wp:docPr id="2" name="图片 2" descr="C:\Users\miao\Desktop\孙海霞名片\中可logo.png中可logo"/>
          <wp:cNvGraphicFramePr/>
          <a:graphic xmlns:a="http://schemas.openxmlformats.org/drawingml/2006/main">
            <a:graphicData uri="http://schemas.openxmlformats.org/drawingml/2006/picture">
              <pic:pic xmlns:pic="http://schemas.openxmlformats.org/drawingml/2006/picture">
                <pic:nvPicPr>
                  <pic:cNvPr id="2" name="图片 2" descr="C:\Users\miao\Desktop\孙海霞名片\中可logo.png中可logo"/>
                  <pic:cNvPicPr/>
                </pic:nvPicPr>
                <pic:blipFill>
                  <a:blip r:embed="rId1"/>
                  <a:srcRect/>
                  <a:stretch>
                    <a:fillRect/>
                  </a:stretch>
                </pic:blipFill>
                <pic:spPr>
                  <a:xfrm>
                    <a:off x="0" y="0"/>
                    <a:ext cx="1114425" cy="389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42F59"/>
    <w:multiLevelType w:val="multilevel"/>
    <w:tmpl w:val="0A742F59"/>
    <w:lvl w:ilvl="0" w:tentative="0">
      <w:start w:val="1"/>
      <w:numFmt w:val="lowerRoman"/>
      <w:lvlText w:val="%1."/>
      <w:lvlJc w:val="right"/>
      <w:pPr>
        <w:ind w:left="1152" w:hanging="360"/>
      </w:pPr>
    </w:lvl>
    <w:lvl w:ilvl="1" w:tentative="0">
      <w:start w:val="1"/>
      <w:numFmt w:val="japaneseCounting"/>
      <w:lvlText w:val="%2、"/>
      <w:lvlJc w:val="left"/>
      <w:pPr>
        <w:ind w:left="1872" w:hanging="360"/>
      </w:pPr>
      <w:rPr>
        <w:rFonts w:hint="default"/>
      </w:rPr>
    </w:lvl>
    <w:lvl w:ilvl="2" w:tentative="0">
      <w:start w:val="1"/>
      <w:numFmt w:val="decimalEnclosedCircle"/>
      <w:lvlText w:val="%3"/>
      <w:lvlJc w:val="left"/>
      <w:pPr>
        <w:ind w:left="2772" w:hanging="360"/>
      </w:pPr>
      <w:rPr>
        <w:rFonts w:hint="default" w:eastAsia="宋体" w:cs="宋体"/>
      </w:rPr>
    </w:lvl>
    <w:lvl w:ilvl="3" w:tentative="0">
      <w:start w:val="1"/>
      <w:numFmt w:val="bullet"/>
      <w:lvlText w:val=""/>
      <w:lvlJc w:val="left"/>
      <w:pPr>
        <w:ind w:left="3312" w:hanging="360"/>
      </w:pPr>
      <w:rPr>
        <w:rFonts w:hint="default" w:ascii="Symbol" w:hAnsi="Symbol"/>
      </w:rPr>
    </w:lvl>
    <w:lvl w:ilvl="4" w:tentative="0">
      <w:start w:val="1"/>
      <w:numFmt w:val="lowerLetter"/>
      <w:lvlText w:val="%5."/>
      <w:lvlJc w:val="left"/>
      <w:pPr>
        <w:ind w:left="4032" w:hanging="360"/>
      </w:pPr>
    </w:lvl>
    <w:lvl w:ilvl="5" w:tentative="0">
      <w:start w:val="1"/>
      <w:numFmt w:val="lowerRoman"/>
      <w:lvlText w:val="%6."/>
      <w:lvlJc w:val="right"/>
      <w:pPr>
        <w:ind w:left="4752" w:hanging="180"/>
      </w:pPr>
    </w:lvl>
    <w:lvl w:ilvl="6" w:tentative="0">
      <w:start w:val="1"/>
      <w:numFmt w:val="decimal"/>
      <w:lvlText w:val="%7."/>
      <w:lvlJc w:val="left"/>
      <w:pPr>
        <w:ind w:left="5472" w:hanging="360"/>
      </w:pPr>
    </w:lvl>
    <w:lvl w:ilvl="7" w:tentative="0">
      <w:start w:val="1"/>
      <w:numFmt w:val="lowerLetter"/>
      <w:lvlText w:val="%8."/>
      <w:lvlJc w:val="left"/>
      <w:pPr>
        <w:ind w:left="6192" w:hanging="360"/>
      </w:pPr>
    </w:lvl>
    <w:lvl w:ilvl="8" w:tentative="0">
      <w:start w:val="1"/>
      <w:numFmt w:val="lowerRoman"/>
      <w:lvlText w:val="%9."/>
      <w:lvlJc w:val="right"/>
      <w:pPr>
        <w:ind w:left="6912" w:hanging="180"/>
      </w:pPr>
    </w:lvl>
  </w:abstractNum>
  <w:abstractNum w:abstractNumId="1">
    <w:nsid w:val="292708E2"/>
    <w:multiLevelType w:val="multilevel"/>
    <w:tmpl w:val="292708E2"/>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abstractNum w:abstractNumId="2">
    <w:nsid w:val="51E07A2A"/>
    <w:multiLevelType w:val="singleLevel"/>
    <w:tmpl w:val="51E07A2A"/>
    <w:lvl w:ilvl="0" w:tentative="0">
      <w:start w:val="25"/>
      <w:numFmt w:val="decimal"/>
      <w:suff w:val="nothing"/>
      <w:lvlText w:val="%1、"/>
      <w:lvlJc w:val="left"/>
    </w:lvl>
  </w:abstractNum>
  <w:abstractNum w:abstractNumId="3">
    <w:nsid w:val="51E50D17"/>
    <w:multiLevelType w:val="multilevel"/>
    <w:tmpl w:val="51E50D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2A3137"/>
    <w:multiLevelType w:val="multilevel"/>
    <w:tmpl w:val="532A3137"/>
    <w:lvl w:ilvl="0" w:tentative="0">
      <w:start w:val="1"/>
      <w:numFmt w:val="lowerLetter"/>
      <w:lvlText w:val="%1)"/>
      <w:lvlJc w:val="left"/>
      <w:pPr>
        <w:ind w:left="2700" w:hanging="360"/>
      </w:pPr>
    </w:lvl>
    <w:lvl w:ilvl="1" w:tentative="0">
      <w:start w:val="1"/>
      <w:numFmt w:val="lowerLetter"/>
      <w:lvlText w:val="%2."/>
      <w:lvlJc w:val="left"/>
      <w:pPr>
        <w:ind w:left="3420" w:hanging="360"/>
      </w:pPr>
    </w:lvl>
    <w:lvl w:ilvl="2" w:tentative="0">
      <w:start w:val="1"/>
      <w:numFmt w:val="lowerRoman"/>
      <w:lvlText w:val="%3."/>
      <w:lvlJc w:val="right"/>
      <w:pPr>
        <w:ind w:left="4140" w:hanging="180"/>
      </w:pPr>
    </w:lvl>
    <w:lvl w:ilvl="3" w:tentative="0">
      <w:start w:val="1"/>
      <w:numFmt w:val="decimal"/>
      <w:lvlText w:val="%4."/>
      <w:lvlJc w:val="left"/>
      <w:pPr>
        <w:ind w:left="4860" w:hanging="360"/>
      </w:pPr>
    </w:lvl>
    <w:lvl w:ilvl="4" w:tentative="0">
      <w:start w:val="1"/>
      <w:numFmt w:val="lowerLetter"/>
      <w:lvlText w:val="%5."/>
      <w:lvlJc w:val="left"/>
      <w:pPr>
        <w:ind w:left="5580" w:hanging="360"/>
      </w:pPr>
    </w:lvl>
    <w:lvl w:ilvl="5" w:tentative="0">
      <w:start w:val="1"/>
      <w:numFmt w:val="lowerRoman"/>
      <w:lvlText w:val="%6."/>
      <w:lvlJc w:val="right"/>
      <w:pPr>
        <w:ind w:left="6300" w:hanging="180"/>
      </w:pPr>
    </w:lvl>
    <w:lvl w:ilvl="6" w:tentative="0">
      <w:start w:val="1"/>
      <w:numFmt w:val="decimal"/>
      <w:lvlText w:val="%7."/>
      <w:lvlJc w:val="left"/>
      <w:pPr>
        <w:ind w:left="7020" w:hanging="360"/>
      </w:pPr>
    </w:lvl>
    <w:lvl w:ilvl="7" w:tentative="0">
      <w:start w:val="1"/>
      <w:numFmt w:val="lowerLetter"/>
      <w:lvlText w:val="%8."/>
      <w:lvlJc w:val="left"/>
      <w:pPr>
        <w:ind w:left="7740" w:hanging="360"/>
      </w:pPr>
    </w:lvl>
    <w:lvl w:ilvl="8" w:tentative="0">
      <w:start w:val="1"/>
      <w:numFmt w:val="lowerRoman"/>
      <w:lvlText w:val="%9."/>
      <w:lvlJc w:val="right"/>
      <w:pPr>
        <w:ind w:left="8460" w:hanging="180"/>
      </w:pPr>
    </w:lvl>
  </w:abstractNum>
  <w:abstractNum w:abstractNumId="5">
    <w:nsid w:val="5EC02A81"/>
    <w:multiLevelType w:val="multilevel"/>
    <w:tmpl w:val="5EC02A81"/>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6">
    <w:nsid w:val="6BFC7EAE"/>
    <w:multiLevelType w:val="multilevel"/>
    <w:tmpl w:val="6BFC7EAE"/>
    <w:lvl w:ilvl="0" w:tentative="0">
      <w:start w:val="1"/>
      <w:numFmt w:val="bullet"/>
      <w:lvlText w:val=""/>
      <w:lvlJc w:val="left"/>
      <w:pPr>
        <w:ind w:left="1296" w:hanging="360"/>
      </w:pPr>
      <w:rPr>
        <w:rFonts w:hint="default" w:ascii="Symbol" w:hAnsi="Symbol"/>
      </w:rPr>
    </w:lvl>
    <w:lvl w:ilvl="1" w:tentative="0">
      <w:start w:val="1"/>
      <w:numFmt w:val="bullet"/>
      <w:lvlText w:val="o"/>
      <w:lvlJc w:val="left"/>
      <w:pPr>
        <w:ind w:left="2016" w:hanging="360"/>
      </w:pPr>
      <w:rPr>
        <w:rFonts w:hint="default" w:ascii="Courier New" w:hAnsi="Courier New" w:cs="Courier New"/>
      </w:rPr>
    </w:lvl>
    <w:lvl w:ilvl="2" w:tentative="0">
      <w:start w:val="1"/>
      <w:numFmt w:val="bullet"/>
      <w:lvlText w:val=""/>
      <w:lvlJc w:val="left"/>
      <w:pPr>
        <w:ind w:left="2736" w:hanging="360"/>
      </w:pPr>
      <w:rPr>
        <w:rFonts w:hint="default" w:ascii="Wingdings" w:hAnsi="Wingdings"/>
      </w:rPr>
    </w:lvl>
    <w:lvl w:ilvl="3" w:tentative="0">
      <w:start w:val="1"/>
      <w:numFmt w:val="bullet"/>
      <w:lvlText w:val=""/>
      <w:lvlJc w:val="left"/>
      <w:pPr>
        <w:ind w:left="3456" w:hanging="360"/>
      </w:pPr>
      <w:rPr>
        <w:rFonts w:hint="default" w:ascii="Symbol" w:hAnsi="Symbol"/>
      </w:rPr>
    </w:lvl>
    <w:lvl w:ilvl="4" w:tentative="0">
      <w:start w:val="1"/>
      <w:numFmt w:val="bullet"/>
      <w:lvlText w:val="o"/>
      <w:lvlJc w:val="left"/>
      <w:pPr>
        <w:ind w:left="4176" w:hanging="360"/>
      </w:pPr>
      <w:rPr>
        <w:rFonts w:hint="default" w:ascii="Courier New" w:hAnsi="Courier New" w:cs="Courier New"/>
      </w:rPr>
    </w:lvl>
    <w:lvl w:ilvl="5" w:tentative="0">
      <w:start w:val="1"/>
      <w:numFmt w:val="bullet"/>
      <w:lvlText w:val=""/>
      <w:lvlJc w:val="left"/>
      <w:pPr>
        <w:ind w:left="4896" w:hanging="360"/>
      </w:pPr>
      <w:rPr>
        <w:rFonts w:hint="default" w:ascii="Wingdings" w:hAnsi="Wingdings"/>
      </w:rPr>
    </w:lvl>
    <w:lvl w:ilvl="6" w:tentative="0">
      <w:start w:val="1"/>
      <w:numFmt w:val="bullet"/>
      <w:lvlText w:val=""/>
      <w:lvlJc w:val="left"/>
      <w:pPr>
        <w:ind w:left="5616" w:hanging="360"/>
      </w:pPr>
      <w:rPr>
        <w:rFonts w:hint="default" w:ascii="Symbol" w:hAnsi="Symbol"/>
      </w:rPr>
    </w:lvl>
    <w:lvl w:ilvl="7" w:tentative="0">
      <w:start w:val="1"/>
      <w:numFmt w:val="bullet"/>
      <w:lvlText w:val="o"/>
      <w:lvlJc w:val="left"/>
      <w:pPr>
        <w:ind w:left="6336" w:hanging="360"/>
      </w:pPr>
      <w:rPr>
        <w:rFonts w:hint="default" w:ascii="Courier New" w:hAnsi="Courier New" w:cs="Courier New"/>
      </w:rPr>
    </w:lvl>
    <w:lvl w:ilvl="8" w:tentative="0">
      <w:start w:val="1"/>
      <w:numFmt w:val="bullet"/>
      <w:lvlText w:val=""/>
      <w:lvlJc w:val="left"/>
      <w:pPr>
        <w:ind w:left="7056" w:hanging="360"/>
      </w:pPr>
      <w:rPr>
        <w:rFonts w:hint="default" w:ascii="Wingdings" w:hAnsi="Wingdings"/>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9"/>
  <w:doNotHyphenateCaps/>
  <w:drawingGridHorizontalSpacing w:val="90"/>
  <w:displayHorizontalDrawingGridEvery w:val="0"/>
  <w:displayVerticalDrawingGridEvery w:val="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ZTZlZWM4MmFjZmMzNzkyZTVhYzFmYzE4OWZiYWUifQ=="/>
  </w:docVars>
  <w:rsids>
    <w:rsidRoot w:val="005E41AA"/>
    <w:rsid w:val="000304E4"/>
    <w:rsid w:val="000356DA"/>
    <w:rsid w:val="00053A83"/>
    <w:rsid w:val="00055C11"/>
    <w:rsid w:val="00065236"/>
    <w:rsid w:val="000738E9"/>
    <w:rsid w:val="0008142D"/>
    <w:rsid w:val="000915E1"/>
    <w:rsid w:val="000A2309"/>
    <w:rsid w:val="000B2B97"/>
    <w:rsid w:val="000C3B30"/>
    <w:rsid w:val="000D38E4"/>
    <w:rsid w:val="000E45E9"/>
    <w:rsid w:val="001008C9"/>
    <w:rsid w:val="001065F5"/>
    <w:rsid w:val="00107383"/>
    <w:rsid w:val="00126B49"/>
    <w:rsid w:val="00154922"/>
    <w:rsid w:val="00157D1B"/>
    <w:rsid w:val="00157D64"/>
    <w:rsid w:val="00162E13"/>
    <w:rsid w:val="0017379F"/>
    <w:rsid w:val="00176BC5"/>
    <w:rsid w:val="0017756B"/>
    <w:rsid w:val="00184DC6"/>
    <w:rsid w:val="00193981"/>
    <w:rsid w:val="00194F80"/>
    <w:rsid w:val="00196218"/>
    <w:rsid w:val="0019773F"/>
    <w:rsid w:val="001A08E2"/>
    <w:rsid w:val="001A24EA"/>
    <w:rsid w:val="001B6945"/>
    <w:rsid w:val="001C0DF2"/>
    <w:rsid w:val="001D088F"/>
    <w:rsid w:val="001D7B69"/>
    <w:rsid w:val="001E1971"/>
    <w:rsid w:val="00203C3A"/>
    <w:rsid w:val="002118DA"/>
    <w:rsid w:val="00213621"/>
    <w:rsid w:val="002145D6"/>
    <w:rsid w:val="002164BB"/>
    <w:rsid w:val="00232CCB"/>
    <w:rsid w:val="00234E1F"/>
    <w:rsid w:val="00253989"/>
    <w:rsid w:val="002670A9"/>
    <w:rsid w:val="00267C4F"/>
    <w:rsid w:val="002862E1"/>
    <w:rsid w:val="002A4636"/>
    <w:rsid w:val="002B097C"/>
    <w:rsid w:val="002C0604"/>
    <w:rsid w:val="002E1F15"/>
    <w:rsid w:val="002E651F"/>
    <w:rsid w:val="002F019C"/>
    <w:rsid w:val="002F28D1"/>
    <w:rsid w:val="002F46AA"/>
    <w:rsid w:val="002F56EC"/>
    <w:rsid w:val="002F6136"/>
    <w:rsid w:val="00314D80"/>
    <w:rsid w:val="00341A31"/>
    <w:rsid w:val="00342EB6"/>
    <w:rsid w:val="00344B96"/>
    <w:rsid w:val="00352802"/>
    <w:rsid w:val="00353C6C"/>
    <w:rsid w:val="0035764E"/>
    <w:rsid w:val="0036369F"/>
    <w:rsid w:val="003A7FA3"/>
    <w:rsid w:val="003C1559"/>
    <w:rsid w:val="003C3E70"/>
    <w:rsid w:val="003E45C3"/>
    <w:rsid w:val="003E4BF1"/>
    <w:rsid w:val="003E55D8"/>
    <w:rsid w:val="003E5DE9"/>
    <w:rsid w:val="003F4747"/>
    <w:rsid w:val="003F5374"/>
    <w:rsid w:val="004171A6"/>
    <w:rsid w:val="00427553"/>
    <w:rsid w:val="004356FB"/>
    <w:rsid w:val="004446A1"/>
    <w:rsid w:val="00450547"/>
    <w:rsid w:val="0048690A"/>
    <w:rsid w:val="00494C75"/>
    <w:rsid w:val="004A30A9"/>
    <w:rsid w:val="004A5B8D"/>
    <w:rsid w:val="004E0CA5"/>
    <w:rsid w:val="004E5024"/>
    <w:rsid w:val="004E5F59"/>
    <w:rsid w:val="004F01C9"/>
    <w:rsid w:val="00500792"/>
    <w:rsid w:val="00522F29"/>
    <w:rsid w:val="0052412A"/>
    <w:rsid w:val="005245F4"/>
    <w:rsid w:val="0056591F"/>
    <w:rsid w:val="00567C9F"/>
    <w:rsid w:val="00573B73"/>
    <w:rsid w:val="00584A2B"/>
    <w:rsid w:val="00584FB0"/>
    <w:rsid w:val="005B5D43"/>
    <w:rsid w:val="005C14F3"/>
    <w:rsid w:val="005C4D34"/>
    <w:rsid w:val="005D1D58"/>
    <w:rsid w:val="005D25C2"/>
    <w:rsid w:val="005D579B"/>
    <w:rsid w:val="005E41AA"/>
    <w:rsid w:val="005E656A"/>
    <w:rsid w:val="005F6661"/>
    <w:rsid w:val="005F7493"/>
    <w:rsid w:val="006023F2"/>
    <w:rsid w:val="006032FA"/>
    <w:rsid w:val="00617C27"/>
    <w:rsid w:val="006466E8"/>
    <w:rsid w:val="00657BB6"/>
    <w:rsid w:val="0066622B"/>
    <w:rsid w:val="00680CF5"/>
    <w:rsid w:val="00693623"/>
    <w:rsid w:val="0069605E"/>
    <w:rsid w:val="006A68BB"/>
    <w:rsid w:val="006B612D"/>
    <w:rsid w:val="006C6D1C"/>
    <w:rsid w:val="006E6188"/>
    <w:rsid w:val="0071630D"/>
    <w:rsid w:val="00716D0D"/>
    <w:rsid w:val="00720E1F"/>
    <w:rsid w:val="007219DE"/>
    <w:rsid w:val="007303BC"/>
    <w:rsid w:val="007314E7"/>
    <w:rsid w:val="00747E2C"/>
    <w:rsid w:val="00764EA2"/>
    <w:rsid w:val="00774967"/>
    <w:rsid w:val="00774E08"/>
    <w:rsid w:val="007831FA"/>
    <w:rsid w:val="0078795D"/>
    <w:rsid w:val="00794480"/>
    <w:rsid w:val="007B6A63"/>
    <w:rsid w:val="007C5A31"/>
    <w:rsid w:val="007C6DE1"/>
    <w:rsid w:val="007D40AA"/>
    <w:rsid w:val="007E2063"/>
    <w:rsid w:val="007F6460"/>
    <w:rsid w:val="007F7BDA"/>
    <w:rsid w:val="0080108E"/>
    <w:rsid w:val="00812CC3"/>
    <w:rsid w:val="008159AE"/>
    <w:rsid w:val="00823DC4"/>
    <w:rsid w:val="00824B40"/>
    <w:rsid w:val="00840CD6"/>
    <w:rsid w:val="008425D2"/>
    <w:rsid w:val="00844B13"/>
    <w:rsid w:val="008476DB"/>
    <w:rsid w:val="008504E9"/>
    <w:rsid w:val="00881992"/>
    <w:rsid w:val="00893D8C"/>
    <w:rsid w:val="008B23C8"/>
    <w:rsid w:val="008B7E28"/>
    <w:rsid w:val="008D0B94"/>
    <w:rsid w:val="008D7A3C"/>
    <w:rsid w:val="00932D94"/>
    <w:rsid w:val="00947A77"/>
    <w:rsid w:val="009604DC"/>
    <w:rsid w:val="00964845"/>
    <w:rsid w:val="00975CAB"/>
    <w:rsid w:val="00975DC8"/>
    <w:rsid w:val="009A4307"/>
    <w:rsid w:val="009A44E8"/>
    <w:rsid w:val="009C0FC1"/>
    <w:rsid w:val="009C5AE1"/>
    <w:rsid w:val="009D7F16"/>
    <w:rsid w:val="009E499C"/>
    <w:rsid w:val="009E5DC5"/>
    <w:rsid w:val="009F11AE"/>
    <w:rsid w:val="00A10ED2"/>
    <w:rsid w:val="00A1500D"/>
    <w:rsid w:val="00A20DAD"/>
    <w:rsid w:val="00A21179"/>
    <w:rsid w:val="00A2681B"/>
    <w:rsid w:val="00A35B49"/>
    <w:rsid w:val="00A44E05"/>
    <w:rsid w:val="00A45F76"/>
    <w:rsid w:val="00A57A2B"/>
    <w:rsid w:val="00A620F1"/>
    <w:rsid w:val="00A628D9"/>
    <w:rsid w:val="00A65B05"/>
    <w:rsid w:val="00A66733"/>
    <w:rsid w:val="00A85E8B"/>
    <w:rsid w:val="00A9241B"/>
    <w:rsid w:val="00A96FDF"/>
    <w:rsid w:val="00AA1219"/>
    <w:rsid w:val="00AC3A15"/>
    <w:rsid w:val="00AC71AD"/>
    <w:rsid w:val="00AD01B0"/>
    <w:rsid w:val="00AF7925"/>
    <w:rsid w:val="00B1128C"/>
    <w:rsid w:val="00B11FE0"/>
    <w:rsid w:val="00B16017"/>
    <w:rsid w:val="00B16D05"/>
    <w:rsid w:val="00B269CB"/>
    <w:rsid w:val="00B4478A"/>
    <w:rsid w:val="00B72AD0"/>
    <w:rsid w:val="00B910B0"/>
    <w:rsid w:val="00BA197A"/>
    <w:rsid w:val="00BA69B2"/>
    <w:rsid w:val="00BB0537"/>
    <w:rsid w:val="00BB4970"/>
    <w:rsid w:val="00BD3DCB"/>
    <w:rsid w:val="00BE0E78"/>
    <w:rsid w:val="00BE410B"/>
    <w:rsid w:val="00BE55CC"/>
    <w:rsid w:val="00BF43EB"/>
    <w:rsid w:val="00BF6127"/>
    <w:rsid w:val="00C15DE9"/>
    <w:rsid w:val="00C353DD"/>
    <w:rsid w:val="00C438CF"/>
    <w:rsid w:val="00C517D2"/>
    <w:rsid w:val="00C5405D"/>
    <w:rsid w:val="00C73859"/>
    <w:rsid w:val="00C82DA7"/>
    <w:rsid w:val="00C850F9"/>
    <w:rsid w:val="00C92732"/>
    <w:rsid w:val="00CA01B0"/>
    <w:rsid w:val="00CB3CAC"/>
    <w:rsid w:val="00CE3F6F"/>
    <w:rsid w:val="00CE6F1F"/>
    <w:rsid w:val="00D03C6E"/>
    <w:rsid w:val="00D04E2D"/>
    <w:rsid w:val="00D10276"/>
    <w:rsid w:val="00D30790"/>
    <w:rsid w:val="00D30C26"/>
    <w:rsid w:val="00D369A5"/>
    <w:rsid w:val="00D36A5D"/>
    <w:rsid w:val="00D5586B"/>
    <w:rsid w:val="00D56AD6"/>
    <w:rsid w:val="00D674BB"/>
    <w:rsid w:val="00D71FFE"/>
    <w:rsid w:val="00D72B51"/>
    <w:rsid w:val="00D77799"/>
    <w:rsid w:val="00D94A5B"/>
    <w:rsid w:val="00DA3816"/>
    <w:rsid w:val="00DA628B"/>
    <w:rsid w:val="00DB2271"/>
    <w:rsid w:val="00DC04E8"/>
    <w:rsid w:val="00DC1499"/>
    <w:rsid w:val="00DC249C"/>
    <w:rsid w:val="00DC260C"/>
    <w:rsid w:val="00E05ABC"/>
    <w:rsid w:val="00E159EF"/>
    <w:rsid w:val="00E235FF"/>
    <w:rsid w:val="00E31A5B"/>
    <w:rsid w:val="00E3350A"/>
    <w:rsid w:val="00E3569C"/>
    <w:rsid w:val="00E505E9"/>
    <w:rsid w:val="00E610DC"/>
    <w:rsid w:val="00E65FE5"/>
    <w:rsid w:val="00E71D60"/>
    <w:rsid w:val="00E748E3"/>
    <w:rsid w:val="00E96BE6"/>
    <w:rsid w:val="00EA4199"/>
    <w:rsid w:val="00EC3BBB"/>
    <w:rsid w:val="00ED60BC"/>
    <w:rsid w:val="00EF527D"/>
    <w:rsid w:val="00F013D3"/>
    <w:rsid w:val="00F0227F"/>
    <w:rsid w:val="00F1041A"/>
    <w:rsid w:val="00F10F3A"/>
    <w:rsid w:val="00F1185E"/>
    <w:rsid w:val="00F125FC"/>
    <w:rsid w:val="00F126EF"/>
    <w:rsid w:val="00F36CD9"/>
    <w:rsid w:val="00F3775B"/>
    <w:rsid w:val="00F45994"/>
    <w:rsid w:val="00F45C8B"/>
    <w:rsid w:val="00F51F20"/>
    <w:rsid w:val="00F71EB7"/>
    <w:rsid w:val="00F77681"/>
    <w:rsid w:val="00F77E65"/>
    <w:rsid w:val="00F85AB1"/>
    <w:rsid w:val="00F86D7E"/>
    <w:rsid w:val="00FB2AE7"/>
    <w:rsid w:val="00FC2C82"/>
    <w:rsid w:val="00FD0C3F"/>
    <w:rsid w:val="00FD70D5"/>
    <w:rsid w:val="00FD7328"/>
    <w:rsid w:val="00FE3960"/>
    <w:rsid w:val="00FF3B94"/>
    <w:rsid w:val="639C03D5"/>
    <w:rsid w:val="7AC066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18"/>
      <w:lang w:val="en-GB" w:eastAsia="en-US" w:bidi="ar-SA"/>
    </w:rPr>
  </w:style>
  <w:style w:type="paragraph" w:styleId="2">
    <w:name w:val="heading 1"/>
    <w:basedOn w:val="1"/>
    <w:next w:val="1"/>
    <w:qFormat/>
    <w:uiPriority w:val="0"/>
    <w:pPr>
      <w:spacing w:before="240"/>
      <w:outlineLvl w:val="0"/>
    </w:pPr>
    <w:rPr>
      <w:rFonts w:ascii="Arial" w:hAnsi="Arial"/>
      <w:b/>
      <w:sz w:val="24"/>
      <w:u w:val="single"/>
    </w:rPr>
  </w:style>
  <w:style w:type="paragraph" w:styleId="3">
    <w:name w:val="heading 2"/>
    <w:basedOn w:val="1"/>
    <w:next w:val="1"/>
    <w:qFormat/>
    <w:uiPriority w:val="0"/>
    <w:pPr>
      <w:spacing w:before="120"/>
      <w:outlineLvl w:val="1"/>
    </w:pPr>
    <w:rPr>
      <w:rFonts w:ascii="Arial" w:hAnsi="Arial"/>
      <w:b/>
      <w:sz w:val="24"/>
    </w:rPr>
  </w:style>
  <w:style w:type="paragraph" w:styleId="4">
    <w:name w:val="heading 3"/>
    <w:basedOn w:val="1"/>
    <w:next w:val="5"/>
    <w:qFormat/>
    <w:uiPriority w:val="0"/>
    <w:pPr>
      <w:ind w:left="360"/>
      <w:outlineLvl w:val="2"/>
    </w:pPr>
    <w:rPr>
      <w:b/>
      <w:sz w:val="24"/>
    </w:rPr>
  </w:style>
  <w:style w:type="paragraph" w:styleId="6">
    <w:name w:val="heading 4"/>
    <w:basedOn w:val="1"/>
    <w:next w:val="5"/>
    <w:qFormat/>
    <w:uiPriority w:val="0"/>
    <w:pPr>
      <w:ind w:left="360"/>
      <w:outlineLvl w:val="3"/>
    </w:pPr>
    <w:rPr>
      <w:sz w:val="24"/>
      <w:u w:val="single"/>
    </w:rPr>
  </w:style>
  <w:style w:type="paragraph" w:styleId="7">
    <w:name w:val="heading 5"/>
    <w:basedOn w:val="1"/>
    <w:next w:val="5"/>
    <w:qFormat/>
    <w:uiPriority w:val="0"/>
    <w:pPr>
      <w:ind w:left="720"/>
      <w:outlineLvl w:val="4"/>
    </w:pPr>
    <w:rPr>
      <w:b/>
      <w:sz w:val="20"/>
    </w:rPr>
  </w:style>
  <w:style w:type="paragraph" w:styleId="8">
    <w:name w:val="heading 6"/>
    <w:basedOn w:val="1"/>
    <w:next w:val="5"/>
    <w:qFormat/>
    <w:uiPriority w:val="0"/>
    <w:pPr>
      <w:ind w:left="720"/>
      <w:outlineLvl w:val="5"/>
    </w:pPr>
    <w:rPr>
      <w:sz w:val="20"/>
      <w:u w:val="single"/>
    </w:rPr>
  </w:style>
  <w:style w:type="paragraph" w:styleId="9">
    <w:name w:val="heading 7"/>
    <w:basedOn w:val="1"/>
    <w:next w:val="5"/>
    <w:qFormat/>
    <w:uiPriority w:val="0"/>
    <w:pPr>
      <w:ind w:left="720"/>
      <w:outlineLvl w:val="6"/>
    </w:pPr>
    <w:rPr>
      <w:i/>
      <w:sz w:val="20"/>
    </w:rPr>
  </w:style>
  <w:style w:type="paragraph" w:styleId="10">
    <w:name w:val="heading 8"/>
    <w:basedOn w:val="1"/>
    <w:next w:val="5"/>
    <w:qFormat/>
    <w:uiPriority w:val="0"/>
    <w:pPr>
      <w:ind w:left="720"/>
      <w:outlineLvl w:val="7"/>
    </w:pPr>
    <w:rPr>
      <w:i/>
      <w:sz w:val="20"/>
    </w:rPr>
  </w:style>
  <w:style w:type="paragraph" w:styleId="11">
    <w:name w:val="heading 9"/>
    <w:basedOn w:val="1"/>
    <w:next w:val="5"/>
    <w:qFormat/>
    <w:uiPriority w:val="0"/>
    <w:pPr>
      <w:ind w:left="720"/>
      <w:outlineLvl w:val="8"/>
    </w:pPr>
    <w:rPr>
      <w:i/>
      <w:sz w:val="20"/>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left="720"/>
    </w:pPr>
  </w:style>
  <w:style w:type="paragraph" w:styleId="12">
    <w:name w:val="Block Text"/>
    <w:basedOn w:val="1"/>
    <w:uiPriority w:val="0"/>
    <w:pPr>
      <w:widowControl w:val="0"/>
      <w:tabs>
        <w:tab w:val="left" w:pos="1050"/>
      </w:tabs>
      <w:ind w:left="1050" w:right="210" w:rightChars="100"/>
      <w:jc w:val="both"/>
    </w:pPr>
    <w:rPr>
      <w:rFonts w:eastAsia="宋体"/>
      <w:kern w:val="2"/>
      <w:sz w:val="21"/>
      <w:lang w:val="en-US" w:eastAsia="zh-CN"/>
    </w:rPr>
  </w:style>
  <w:style w:type="paragraph" w:styleId="13">
    <w:name w:val="Balloon Text"/>
    <w:basedOn w:val="1"/>
    <w:link w:val="23"/>
    <w:uiPriority w:val="0"/>
    <w:rPr>
      <w:rFonts w:ascii="Tahoma" w:hAnsi="Tahoma"/>
      <w:sz w:val="16"/>
      <w:szCs w:val="16"/>
      <w:lang w:val="zh-CN"/>
    </w:rPr>
  </w:style>
  <w:style w:type="paragraph" w:styleId="14">
    <w:name w:val="footer"/>
    <w:basedOn w:val="1"/>
    <w:link w:val="22"/>
    <w:qFormat/>
    <w:uiPriority w:val="99"/>
    <w:pPr>
      <w:tabs>
        <w:tab w:val="center" w:pos="4819"/>
        <w:tab w:val="right" w:pos="9071"/>
      </w:tabs>
    </w:pPr>
    <w:rPr>
      <w:lang w:val="zh-CN"/>
    </w:rPr>
  </w:style>
  <w:style w:type="paragraph" w:styleId="15">
    <w:name w:val="header"/>
    <w:basedOn w:val="1"/>
    <w:link w:val="24"/>
    <w:uiPriority w:val="0"/>
    <w:pPr>
      <w:tabs>
        <w:tab w:val="center" w:pos="4819"/>
        <w:tab w:val="right" w:pos="9071"/>
      </w:tabs>
    </w:pPr>
  </w:style>
  <w:style w:type="paragraph" w:styleId="16">
    <w:name w:val="footnote text"/>
    <w:basedOn w:val="1"/>
    <w:semiHidden/>
    <w:qFormat/>
    <w:uiPriority w:val="0"/>
    <w:rPr>
      <w:sz w:val="20"/>
    </w:rPr>
  </w:style>
  <w:style w:type="paragraph" w:styleId="17">
    <w:name w:val="Normal (Web)"/>
    <w:basedOn w:val="1"/>
    <w:unhideWhenUsed/>
    <w:uiPriority w:val="99"/>
    <w:pPr>
      <w:spacing w:before="100" w:beforeAutospacing="1" w:after="100" w:afterAutospacing="1"/>
    </w:pPr>
    <w:rPr>
      <w:rFonts w:eastAsia="Calibri"/>
      <w:sz w:val="24"/>
      <w:szCs w:val="24"/>
      <w:lang w:eastAsia="en-GB"/>
    </w:rPr>
  </w:style>
  <w:style w:type="table" w:styleId="19">
    <w:name w:val="Table Grid"/>
    <w:basedOn w:val="1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semiHidden/>
    <w:qFormat/>
    <w:uiPriority w:val="0"/>
    <w:rPr>
      <w:position w:val="6"/>
      <w:sz w:val="16"/>
    </w:rPr>
  </w:style>
  <w:style w:type="character" w:customStyle="1" w:styleId="22">
    <w:name w:val="页脚 字符"/>
    <w:link w:val="14"/>
    <w:qFormat/>
    <w:uiPriority w:val="99"/>
    <w:rPr>
      <w:sz w:val="18"/>
      <w:lang w:eastAsia="en-US"/>
    </w:rPr>
  </w:style>
  <w:style w:type="character" w:customStyle="1" w:styleId="23">
    <w:name w:val="批注框文本 字符"/>
    <w:link w:val="13"/>
    <w:qFormat/>
    <w:uiPriority w:val="0"/>
    <w:rPr>
      <w:rFonts w:ascii="Tahoma" w:hAnsi="Tahoma" w:cs="Tahoma"/>
      <w:sz w:val="16"/>
      <w:szCs w:val="16"/>
      <w:lang w:eastAsia="en-US"/>
    </w:rPr>
  </w:style>
  <w:style w:type="character" w:customStyle="1" w:styleId="24">
    <w:name w:val="页眉 字符"/>
    <w:link w:val="15"/>
    <w:uiPriority w:val="0"/>
    <w:rPr>
      <w:sz w:val="18"/>
      <w:lang w:eastAsia="en-US"/>
    </w:rPr>
  </w:style>
  <w:style w:type="paragraph" w:styleId="25">
    <w:name w:val="List Paragraph"/>
    <w:basedOn w:val="1"/>
    <w:qFormat/>
    <w:uiPriority w:val="34"/>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E2D4-ADE1-48BB-9419-755B1D163F1F}">
  <ds:schemaRefs/>
</ds:datastoreItem>
</file>

<file path=docProps/app.xml><?xml version="1.0" encoding="utf-8"?>
<Properties xmlns="http://schemas.openxmlformats.org/officeDocument/2006/extended-properties" xmlns:vt="http://schemas.openxmlformats.org/officeDocument/2006/docPropsVTypes">
  <Template>Normal</Template>
  <Company>DAS Associates Ltd</Company>
  <Pages>1</Pages>
  <Words>794</Words>
  <Characters>4529</Characters>
  <Lines>37</Lines>
  <Paragraphs>10</Paragraphs>
  <TotalTime>608</TotalTime>
  <ScaleCrop>false</ScaleCrop>
  <LinksUpToDate>false</LinksUpToDate>
  <CharactersWithSpaces>5313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2016-04-12T20:43:00Z</dcterms:created>
  <dc:creator>GIS</dc:creator>
  <cp:lastModifiedBy>中可计划-秦陈赟</cp:lastModifiedBy>
  <cp:lastPrinted>2018-11-13T06:05:00Z</cp:lastPrinted>
  <dcterms:modified xsi:type="dcterms:W3CDTF">2023-03-01T01:59:51Z</dcterms:modified>
  <dc:title>AGREEMENT FOR</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81E1C071B83F490B90F0B7E71C741F0A</vt:lpwstr>
  </property>
</Properties>
</file>